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2C6F">
      <w:pPr>
        <w:rPr>
          <w:sz w:val="22"/>
          <w:szCs w:val="22"/>
        </w:rPr>
      </w:pPr>
      <w:bookmarkStart w:id="0" w:name="_Hlk225336968"/>
    </w:p>
    <w:p w14:paraId="29738E0B">
      <w:pPr>
        <w:rPr>
          <w:sz w:val="22"/>
          <w:szCs w:val="22"/>
        </w:rPr>
      </w:pPr>
      <w:r>
        <w:rPr>
          <w:sz w:val="22"/>
          <w:szCs w:val="22"/>
          <w:lang w:val="en-US" w:eastAsia="en-US"/>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-438150</wp:posOffset>
            </wp:positionV>
            <wp:extent cx="937260" cy="861060"/>
            <wp:effectExtent l="19050" t="0" r="0" b="0"/>
            <wp:wrapSquare wrapText="bothSides"/>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37260" cy="861060"/>
                    </a:xfrm>
                    <a:prstGeom prst="rect">
                      <a:avLst/>
                    </a:prstGeom>
                    <a:noFill/>
                  </pic:spPr>
                </pic:pic>
              </a:graphicData>
            </a:graphic>
          </wp:anchor>
        </w:drawing>
      </w:r>
    </w:p>
    <w:p w14:paraId="511D0F3E">
      <w:pPr>
        <w:rPr>
          <w:sz w:val="22"/>
          <w:szCs w:val="22"/>
        </w:rPr>
      </w:pPr>
    </w:p>
    <w:p w14:paraId="62DE8FCB">
      <w:pPr>
        <w:spacing w:after="0"/>
        <w:jc w:val="center"/>
        <w:rPr>
          <w:b/>
          <w:bCs/>
          <w:sz w:val="22"/>
          <w:szCs w:val="22"/>
        </w:rPr>
      </w:pPr>
      <w:r>
        <w:rPr>
          <w:b/>
          <w:bCs/>
          <w:sz w:val="22"/>
          <w:szCs w:val="22"/>
        </w:rPr>
        <w:t>Republika e Kosovës</w:t>
      </w:r>
    </w:p>
    <w:p w14:paraId="0F3F4986">
      <w:pPr>
        <w:spacing w:after="0"/>
        <w:jc w:val="center"/>
        <w:rPr>
          <w:b/>
          <w:bCs/>
          <w:sz w:val="22"/>
          <w:szCs w:val="22"/>
        </w:rPr>
      </w:pPr>
      <w:r>
        <w:rPr>
          <w:b/>
          <w:bCs/>
          <w:sz w:val="22"/>
          <w:szCs w:val="22"/>
        </w:rPr>
        <w:t>Republika Kosova-RepublicofKosovo</w:t>
      </w:r>
    </w:p>
    <w:p w14:paraId="09F446F1">
      <w:pPr>
        <w:spacing w:after="0"/>
        <w:jc w:val="center"/>
        <w:rPr>
          <w:b/>
          <w:bCs/>
          <w:sz w:val="22"/>
          <w:szCs w:val="22"/>
        </w:rPr>
      </w:pPr>
      <w:r>
        <w:rPr>
          <w:b/>
          <w:bCs/>
          <w:sz w:val="22"/>
          <w:szCs w:val="22"/>
        </w:rPr>
        <w:t>Qeveria - Vlada – Government</w:t>
      </w:r>
    </w:p>
    <w:p w14:paraId="7B5233EF">
      <w:pPr>
        <w:spacing w:after="0"/>
        <w:jc w:val="center"/>
        <w:rPr>
          <w:b/>
          <w:bCs/>
          <w:sz w:val="22"/>
          <w:szCs w:val="22"/>
        </w:rPr>
      </w:pPr>
      <w:r>
        <w:rPr>
          <w:b/>
          <w:bCs/>
          <w:i/>
          <w:iCs/>
          <w:sz w:val="22"/>
          <w:szCs w:val="22"/>
        </w:rPr>
        <w:t>Ministria e Financave– Ministarstvo za Finansije– Ministry of Finance</w:t>
      </w:r>
    </w:p>
    <w:p w14:paraId="1B9F545C">
      <w:pPr>
        <w:spacing w:before="120" w:after="120"/>
        <w:ind w:right="-403"/>
        <w:jc w:val="center"/>
        <w:rPr>
          <w:b/>
          <w:bCs/>
          <w:caps/>
          <w:sz w:val="22"/>
          <w:szCs w:val="22"/>
        </w:rPr>
      </w:pPr>
      <w:r>
        <w:rPr>
          <w:b/>
          <w:bCs/>
          <w:caps/>
          <w:sz w:val="22"/>
          <w:szCs w:val="22"/>
        </w:rPr>
        <w:t>AGJENCIA  qendrore E PROKURIMIT</w:t>
      </w:r>
    </w:p>
    <w:p w14:paraId="4A73FCB4">
      <w:pPr>
        <w:spacing w:before="120" w:after="120"/>
        <w:ind w:right="-403"/>
        <w:jc w:val="center"/>
        <w:rPr>
          <w:b/>
          <w:bCs/>
          <w:caps/>
          <w:sz w:val="22"/>
          <w:szCs w:val="22"/>
        </w:rPr>
      </w:pPr>
      <w:r>
        <w:rPr>
          <w:b/>
          <w:bCs/>
          <w:caps/>
          <w:sz w:val="22"/>
          <w:szCs w:val="22"/>
        </w:rPr>
        <w:t>centralna AGENCIA nabaVKe  /  central PROCUREMENT AGENCY</w:t>
      </w:r>
    </w:p>
    <w:bookmarkEnd w:id="0"/>
    <w:tbl>
      <w:tblPr>
        <w:tblStyle w:val="12"/>
        <w:tblpPr w:leftFromText="180" w:rightFromText="180" w:vertAnchor="text" w:horzAnchor="margin" w:tblpY="239"/>
        <w:tblW w:w="9284" w:type="dxa"/>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4"/>
      </w:tblGrid>
      <w:tr w14:paraId="610E15A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6360" w:hRule="atLeast"/>
        </w:trPr>
        <w:tc>
          <w:tcPr>
            <w:tcW w:w="9284" w:type="dxa"/>
            <w:tcBorders>
              <w:top w:val="double" w:color="auto" w:sz="4" w:space="0"/>
              <w:left w:val="double" w:color="auto" w:sz="4" w:space="0"/>
              <w:bottom w:val="double" w:color="auto" w:sz="4" w:space="0"/>
              <w:right w:val="double" w:color="auto" w:sz="4" w:space="0"/>
            </w:tcBorders>
          </w:tcPr>
          <w:p w14:paraId="5EB25078">
            <w:pPr>
              <w:spacing w:after="0"/>
              <w:jc w:val="center"/>
              <w:rPr>
                <w:i/>
                <w:iCs/>
                <w:sz w:val="22"/>
                <w:szCs w:val="22"/>
              </w:rPr>
            </w:pPr>
          </w:p>
          <w:p w14:paraId="79C5E594">
            <w:pPr>
              <w:spacing w:after="0"/>
              <w:jc w:val="center"/>
              <w:rPr>
                <w:b/>
                <w:bCs/>
                <w:sz w:val="22"/>
                <w:szCs w:val="22"/>
              </w:rPr>
            </w:pPr>
            <w:r>
              <w:rPr>
                <w:b/>
                <w:bCs/>
                <w:sz w:val="22"/>
                <w:szCs w:val="22"/>
              </w:rPr>
              <w:t>DOSJA E TENDERIT  - FTESA PËR OFERTIM</w:t>
            </w:r>
          </w:p>
          <w:p w14:paraId="380564BD">
            <w:pPr>
              <w:spacing w:after="0"/>
              <w:jc w:val="center"/>
              <w:rPr>
                <w:b/>
                <w:bCs/>
                <w:sz w:val="22"/>
                <w:szCs w:val="22"/>
              </w:rPr>
            </w:pPr>
            <w:r>
              <w:rPr>
                <w:b/>
                <w:bCs/>
                <w:sz w:val="22"/>
                <w:szCs w:val="22"/>
              </w:rPr>
              <w:t xml:space="preserve">PËR </w:t>
            </w:r>
          </w:p>
          <w:p w14:paraId="41F677CF">
            <w:pPr>
              <w:spacing w:after="0"/>
              <w:jc w:val="center"/>
              <w:rPr>
                <w:b/>
                <w:bCs/>
                <w:sz w:val="22"/>
                <w:szCs w:val="22"/>
              </w:rPr>
            </w:pPr>
            <w:r>
              <w:rPr>
                <w:b/>
                <w:bCs/>
                <w:sz w:val="22"/>
                <w:szCs w:val="22"/>
              </w:rPr>
              <w:t>KONTRATËN – SHËRBIME</w:t>
            </w:r>
          </w:p>
          <w:p w14:paraId="275F0F2D">
            <w:pPr>
              <w:spacing w:after="0"/>
              <w:jc w:val="center"/>
              <w:rPr>
                <w:b/>
                <w:bCs/>
                <w:sz w:val="22"/>
                <w:szCs w:val="22"/>
              </w:rPr>
            </w:pPr>
          </w:p>
          <w:p w14:paraId="04D5F610">
            <w:pPr>
              <w:spacing w:after="0"/>
              <w:jc w:val="center"/>
              <w:rPr>
                <w:bCs/>
                <w:i/>
                <w:sz w:val="22"/>
                <w:szCs w:val="22"/>
              </w:rPr>
            </w:pPr>
            <w:r>
              <w:rPr>
                <w:i/>
                <w:sz w:val="22"/>
                <w:szCs w:val="22"/>
              </w:rPr>
              <w:t>Sipas Nenit  27 të Ligjit nr. 04/L-042 për Prokurimin Publik të Republikës se Kosovës, i ndryshuar dhe plotësuar me ligjin Nr. 04/L-237, ligjin Nr. 05/L-068 dhe ligjin. No. 05/L-092</w:t>
            </w:r>
          </w:p>
          <w:p w14:paraId="1F4D6695">
            <w:pPr>
              <w:spacing w:after="0"/>
              <w:jc w:val="center"/>
              <w:rPr>
                <w:b/>
                <w:bCs/>
                <w:i/>
                <w:iCs/>
                <w:sz w:val="22"/>
                <w:szCs w:val="22"/>
              </w:rPr>
            </w:pPr>
          </w:p>
          <w:p w14:paraId="77652064">
            <w:pPr>
              <w:jc w:val="left"/>
              <w:rPr>
                <w:sz w:val="22"/>
                <w:szCs w:val="22"/>
              </w:rPr>
            </w:pPr>
            <w:r>
              <w:rPr>
                <w:sz w:val="22"/>
                <w:szCs w:val="22"/>
              </w:rPr>
              <w:t xml:space="preserve"> Data kur është përgatitur Dosja e Tenderit</w:t>
            </w:r>
            <w:r>
              <w:rPr>
                <w:b/>
                <w:sz w:val="22"/>
                <w:szCs w:val="22"/>
              </w:rPr>
              <w:t>: 27.03.2026</w:t>
            </w:r>
          </w:p>
          <w:tbl>
            <w:tblPr>
              <w:tblStyle w:val="12"/>
              <w:tblW w:w="0" w:type="auto"/>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4961"/>
            </w:tblGrid>
            <w:tr w14:paraId="11BB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055" w:type="dxa"/>
                  <w:tcBorders>
                    <w:top w:val="single" w:color="auto" w:sz="4" w:space="0"/>
                    <w:left w:val="single" w:color="auto" w:sz="4" w:space="0"/>
                    <w:bottom w:val="single" w:color="auto" w:sz="4" w:space="0"/>
                    <w:right w:val="single" w:color="auto" w:sz="12" w:space="0"/>
                  </w:tcBorders>
                </w:tcPr>
                <w:p w14:paraId="7D989A5B">
                  <w:pPr>
                    <w:spacing w:before="120" w:after="120"/>
                    <w:rPr>
                      <w:b/>
                      <w:bCs/>
                      <w:sz w:val="22"/>
                      <w:szCs w:val="22"/>
                      <w:vertAlign w:val="superscript"/>
                    </w:rPr>
                  </w:pPr>
                  <w:r>
                    <w:rPr>
                      <w:b/>
                      <w:iCs/>
                      <w:sz w:val="22"/>
                      <w:szCs w:val="22"/>
                    </w:rPr>
                    <w:t>Nr. i prokurimit</w:t>
                  </w:r>
                </w:p>
              </w:tc>
              <w:tc>
                <w:tcPr>
                  <w:tcW w:w="4961" w:type="dxa"/>
                  <w:tcBorders>
                    <w:top w:val="single" w:color="auto" w:sz="12" w:space="0"/>
                    <w:left w:val="single" w:color="auto" w:sz="12" w:space="0"/>
                    <w:bottom w:val="single" w:color="auto" w:sz="12" w:space="0"/>
                    <w:right w:val="single" w:color="auto" w:sz="12" w:space="0"/>
                  </w:tcBorders>
                </w:tcPr>
                <w:p w14:paraId="626682FA">
                  <w:pPr>
                    <w:spacing w:before="120" w:after="120"/>
                    <w:rPr>
                      <w:b/>
                      <w:bCs/>
                      <w:sz w:val="22"/>
                      <w:szCs w:val="22"/>
                    </w:rPr>
                  </w:pPr>
                  <w:r>
                    <w:rPr>
                      <w:b/>
                      <w:color w:val="333333"/>
                      <w:lang w:val="en-US"/>
                    </w:rPr>
                    <w:t>201/26300-26-1599-2-1-5</w:t>
                  </w:r>
                </w:p>
              </w:tc>
            </w:tr>
          </w:tbl>
          <w:p w14:paraId="65752807">
            <w:pPr>
              <w:spacing w:after="120"/>
              <w:jc w:val="left"/>
              <w:outlineLvl w:val="1"/>
              <w:rPr>
                <w:b/>
                <w:bCs/>
                <w:sz w:val="22"/>
                <w:szCs w:val="22"/>
              </w:rPr>
            </w:pPr>
          </w:p>
          <w:p w14:paraId="5A8D7653">
            <w:pPr>
              <w:spacing w:after="0"/>
              <w:jc w:val="left"/>
              <w:outlineLvl w:val="1"/>
              <w:rPr>
                <w:b/>
                <w:sz w:val="22"/>
                <w:szCs w:val="22"/>
              </w:rPr>
            </w:pPr>
            <w:r>
              <w:rPr>
                <w:b/>
                <w:bCs/>
                <w:sz w:val="22"/>
                <w:szCs w:val="22"/>
              </w:rPr>
              <w:t xml:space="preserve">Titulli: </w:t>
            </w:r>
            <w:r>
              <w:t xml:space="preserve">  </w:t>
            </w:r>
            <w:r>
              <w:rPr>
                <w:b/>
                <w:bCs/>
                <w:sz w:val="22"/>
                <w:szCs w:val="22"/>
              </w:rPr>
              <w:t>Vazhdimi i Garancionit dhe Shërbimeve të Mbështetjes për Sistemin Nacional të Monitorimit të Spektrit Radio Frekuencor (SNMS)</w:t>
            </w:r>
          </w:p>
          <w:p w14:paraId="00012992">
            <w:pPr>
              <w:spacing w:after="0"/>
              <w:jc w:val="left"/>
              <w:outlineLvl w:val="1"/>
              <w:rPr>
                <w:b/>
                <w:bCs/>
                <w:sz w:val="22"/>
                <w:szCs w:val="22"/>
              </w:rPr>
            </w:pPr>
          </w:p>
          <w:p w14:paraId="47A46A3B">
            <w:pPr>
              <w:spacing w:after="120"/>
              <w:jc w:val="left"/>
              <w:outlineLvl w:val="1"/>
              <w:rPr>
                <w:b/>
                <w:bCs/>
                <w:sz w:val="22"/>
                <w:szCs w:val="22"/>
              </w:rPr>
            </w:pPr>
            <w:r>
              <w:rPr>
                <w:b/>
                <w:bCs/>
                <w:sz w:val="22"/>
                <w:szCs w:val="22"/>
              </w:rPr>
              <w:t xml:space="preserve">                    KJO DOSJE E TENDERIT PERBEHET PREJ NJE PJESË:</w:t>
            </w:r>
          </w:p>
          <w:p w14:paraId="098C2903">
            <w:pPr>
              <w:tabs>
                <w:tab w:val="left" w:pos="900"/>
              </w:tabs>
              <w:spacing w:after="120"/>
              <w:ind w:right="-540"/>
              <w:jc w:val="left"/>
              <w:outlineLvl w:val="1"/>
              <w:rPr>
                <w:i/>
                <w:iCs/>
                <w:sz w:val="22"/>
                <w:szCs w:val="22"/>
              </w:rPr>
            </w:pPr>
            <w:r>
              <w:rPr>
                <w:b/>
                <w:bCs/>
                <w:sz w:val="22"/>
                <w:szCs w:val="22"/>
              </w:rPr>
              <w:t>Pjesa C:      Formulari i Tenderit, d.m.th. dokumentet që duhet t`i paraqesin tenderuesit.</w:t>
            </w:r>
          </w:p>
        </w:tc>
      </w:tr>
    </w:tbl>
    <w:p w14:paraId="746299E3">
      <w:pPr>
        <w:spacing w:after="120"/>
        <w:jc w:val="left"/>
        <w:rPr>
          <w:b/>
          <w:sz w:val="22"/>
          <w:szCs w:val="22"/>
        </w:rPr>
      </w:pPr>
    </w:p>
    <w:p w14:paraId="05B685F7">
      <w:pPr>
        <w:spacing w:after="120"/>
        <w:jc w:val="left"/>
        <w:rPr>
          <w:b/>
          <w:sz w:val="22"/>
          <w:szCs w:val="22"/>
        </w:rPr>
      </w:pPr>
      <w:r>
        <w:rPr>
          <w:b/>
          <w:sz w:val="22"/>
          <w:szCs w:val="22"/>
        </w:rPr>
        <w:t>Kjo dosje e tenderit është përgatitur në gjuhët Shqipe dhe Angleze. Ne rast se ka mospërputhje në mes versioneve gjuhësore, versioni i gjuhës shqipe do të mbizotërojë.</w:t>
      </w:r>
    </w:p>
    <w:p w14:paraId="463E08CE">
      <w:pPr>
        <w:spacing w:after="120"/>
        <w:jc w:val="left"/>
        <w:outlineLvl w:val="1"/>
        <w:rPr>
          <w:b/>
          <w:sz w:val="22"/>
          <w:szCs w:val="22"/>
        </w:rPr>
      </w:pPr>
    </w:p>
    <w:p w14:paraId="04FBA5DB">
      <w:pPr>
        <w:pStyle w:val="102"/>
        <w:jc w:val="center"/>
        <w:rPr>
          <w:sz w:val="16"/>
          <w:szCs w:val="16"/>
        </w:rPr>
      </w:pPr>
      <w:bookmarkStart w:id="1" w:name="_Toc308692906"/>
    </w:p>
    <w:p w14:paraId="261331DF">
      <w:pPr>
        <w:pStyle w:val="102"/>
        <w:jc w:val="center"/>
        <w:rPr>
          <w:sz w:val="16"/>
          <w:szCs w:val="16"/>
        </w:rPr>
      </w:pPr>
    </w:p>
    <w:p w14:paraId="05AFA016">
      <w:pPr>
        <w:pStyle w:val="102"/>
        <w:jc w:val="center"/>
        <w:rPr>
          <w:sz w:val="16"/>
          <w:szCs w:val="16"/>
        </w:rPr>
      </w:pPr>
    </w:p>
    <w:p w14:paraId="75224E98">
      <w:pPr>
        <w:pStyle w:val="102"/>
        <w:jc w:val="center"/>
        <w:rPr>
          <w:sz w:val="16"/>
          <w:szCs w:val="16"/>
        </w:rPr>
      </w:pPr>
    </w:p>
    <w:p w14:paraId="0971C44A">
      <w:pPr>
        <w:pStyle w:val="102"/>
        <w:jc w:val="center"/>
        <w:rPr>
          <w:sz w:val="16"/>
          <w:szCs w:val="16"/>
        </w:rPr>
      </w:pPr>
    </w:p>
    <w:p w14:paraId="7ED442EC">
      <w:pPr>
        <w:rPr>
          <w:rFonts w:ascii="Arial" w:hAnsi="Arial" w:cs="Arial"/>
          <w:b/>
          <w:sz w:val="20"/>
        </w:rPr>
      </w:pPr>
      <w:r>
        <w:rPr>
          <w:rFonts w:ascii="Arial" w:hAnsi="Arial" w:cs="Arial"/>
          <w:b/>
          <w:szCs w:val="24"/>
        </w:rPr>
        <w:t>TEMA: FTESË PËR TENDER  për</w:t>
      </w:r>
      <w:r>
        <w:rPr>
          <w:rFonts w:ascii="Arial" w:hAnsi="Arial" w:cs="Arial"/>
          <w:b/>
          <w:sz w:val="20"/>
        </w:rPr>
        <w:t xml:space="preserve"> </w:t>
      </w:r>
      <w:r>
        <w:rPr>
          <w:rFonts w:ascii="Arial" w:hAnsi="Arial" w:cs="Arial"/>
          <w:i/>
          <w:sz w:val="20"/>
          <w:highlight w:val="lightGray"/>
        </w:rPr>
        <w:fldChar w:fldCharType="begin"/>
      </w:r>
      <w:r>
        <w:rPr>
          <w:rFonts w:ascii="Arial" w:hAnsi="Arial" w:cs="Arial"/>
          <w:i/>
          <w:sz w:val="20"/>
          <w:highlight w:val="lightGray"/>
        </w:rPr>
        <w:instrText xml:space="preserve"> MACROBUTTON  DoFieldClick "[shëno titullin e kontratës ]" </w:instrText>
      </w:r>
      <w:r>
        <w:rPr>
          <w:rFonts w:ascii="Arial" w:hAnsi="Arial" w:cs="Arial"/>
          <w:i/>
          <w:sz w:val="20"/>
          <w:highlight w:val="lightGray"/>
        </w:rPr>
        <w:fldChar w:fldCharType="end"/>
      </w:r>
    </w:p>
    <w:p w14:paraId="30184522">
      <w:pPr>
        <w:rPr>
          <w:rFonts w:ascii="Arial" w:hAnsi="Arial" w:cs="Arial"/>
          <w:sz w:val="20"/>
        </w:rPr>
      </w:pPr>
      <w:r>
        <w:rPr>
          <w:rFonts w:ascii="Arial" w:hAnsi="Arial" w:cs="Arial"/>
          <w:sz w:val="20"/>
        </w:rPr>
        <w:t xml:space="preserve">Ju faleminderit për interesimin e juaj për pjesëmarrje në aktivitetin e lartë përmendur të prokurimit. </w:t>
      </w:r>
    </w:p>
    <w:p w14:paraId="2E20E452">
      <w:pPr>
        <w:rPr>
          <w:rFonts w:ascii="Arial" w:hAnsi="Arial" w:cs="Arial"/>
          <w:sz w:val="20"/>
        </w:rPr>
      </w:pPr>
      <w:r>
        <w:rPr>
          <w:rFonts w:ascii="Arial" w:hAnsi="Arial" w:cs="Arial"/>
          <w:sz w:val="20"/>
        </w:rPr>
        <w:t xml:space="preserve">Sipas kërkesës suaj, ju lutem gjeni të bashkangjitur dokumentet, të cilat përbëjnë Dosjen e Tenderit. </w:t>
      </w:r>
    </w:p>
    <w:p w14:paraId="3EE3F5C1">
      <w:pPr>
        <w:rPr>
          <w:rFonts w:ascii="Arial" w:hAnsi="Arial" w:cs="Arial"/>
          <w:sz w:val="20"/>
        </w:rPr>
      </w:pPr>
      <w:r>
        <w:rPr>
          <w:rFonts w:ascii="Arial" w:hAnsi="Arial" w:cs="Arial"/>
          <w:sz w:val="20"/>
        </w:rPr>
        <w:t xml:space="preserve">Nga ju pritet që të ekzaminoni me kujdes të gjitha pjesët, nenet dhe anekset e kësaj dosjeje të tenderit dhe të pajtoheni me të gjitha kërkesat, specifikimet dhe kushtet e përfshira këtu. </w:t>
      </w:r>
    </w:p>
    <w:p w14:paraId="4A57D065">
      <w:pPr>
        <w:rPr>
          <w:rFonts w:ascii="Arial" w:hAnsi="Arial" w:cs="Arial"/>
          <w:sz w:val="20"/>
        </w:rPr>
      </w:pPr>
      <w:r>
        <w:rPr>
          <w:rFonts w:ascii="Arial" w:hAnsi="Arial" w:cs="Arial"/>
          <w:sz w:val="20"/>
        </w:rPr>
        <w:t>Ne, si Autoritet Kontraktues nuk pranojmë asnjë ndryshim.</w:t>
      </w:r>
    </w:p>
    <w:p w14:paraId="25E28005">
      <w:pPr>
        <w:rPr>
          <w:rFonts w:ascii="Arial" w:hAnsi="Arial" w:cs="Arial"/>
          <w:sz w:val="20"/>
        </w:rPr>
      </w:pPr>
      <w:r>
        <w:rPr>
          <w:rFonts w:ascii="Arial" w:hAnsi="Arial" w:cs="Arial"/>
          <w:sz w:val="20"/>
        </w:rPr>
        <w:t xml:space="preserve">Në rast të dështimit të dorëzimit të tenderin tek autoriteti kontraktues brenda afatit të caktuar në Dosjen e Tenderit, dhe/apo nuk është pajtim me të gjitha kërkesat e paraqitura në dosjen e tenderit, do të refuzohet dhe do të konsiderohet si </w:t>
      </w:r>
      <w:r>
        <w:rPr>
          <w:rFonts w:ascii="Arial" w:hAnsi="Arial" w:cs="Arial"/>
          <w:i/>
          <w:sz w:val="20"/>
        </w:rPr>
        <w:t>“ tender i papërgjegjshëm”</w:t>
      </w:r>
    </w:p>
    <w:p w14:paraId="7D5604AC">
      <w:pPr>
        <w:rPr>
          <w:rFonts w:ascii="Arial" w:hAnsi="Arial" w:cs="Arial"/>
          <w:sz w:val="20"/>
        </w:rPr>
      </w:pPr>
      <w:r>
        <w:rPr>
          <w:rFonts w:ascii="Arial" w:hAnsi="Arial" w:cs="Arial"/>
          <w:sz w:val="20"/>
        </w:rPr>
        <w:t xml:space="preserve">Të gjitha shpenzimet që lidhen  me përgatitjen dhe me dorëzimin e tenderit duhet të barten nga tenderuesi, ndërsa autoriteti kontraktues nuk do të ketë asnjë detyrim në rast se anulohet procedura </w:t>
      </w:r>
    </w:p>
    <w:p w14:paraId="67FE37EA">
      <w:pPr>
        <w:rPr>
          <w:rFonts w:ascii="Arial" w:hAnsi="Arial" w:cs="Arial"/>
          <w:sz w:val="20"/>
        </w:rPr>
      </w:pPr>
      <w:r>
        <w:rPr>
          <w:rFonts w:ascii="Arial" w:hAnsi="Arial" w:cs="Arial"/>
          <w:sz w:val="20"/>
        </w:rPr>
        <w:t xml:space="preserve">Kjo procedure e tenderimit është e rregulluar me Ligjin e Prokurimit Publik (Ligji Nr. </w:t>
      </w:r>
      <w:r>
        <w:rPr>
          <w:rFonts w:cs="Arial"/>
          <w:sz w:val="20"/>
        </w:rPr>
        <w:t xml:space="preserve"> </w:t>
      </w:r>
      <w:r>
        <w:rPr>
          <w:rFonts w:ascii="Arial" w:hAnsi="Arial" w:cs="Arial"/>
          <w:sz w:val="20"/>
        </w:rPr>
        <w:t>04/L-042 për Prokurimin Publik të Republikës se Kosovës, i ndryshuar dhe plotësuar me ligjin Nr. 04/L-237, ligjin Nr. 05/L-068 dhe ligjin Nr. 05/L-092) dhe rregullave te prokurimit te nxjerra ne përputhshmëri me të.</w:t>
      </w:r>
    </w:p>
    <w:p w14:paraId="1EB3E88C">
      <w:pPr>
        <w:spacing w:after="0"/>
        <w:rPr>
          <w:rFonts w:ascii="Arial" w:hAnsi="Arial" w:cs="Arial"/>
          <w:b/>
          <w:sz w:val="20"/>
        </w:rPr>
      </w:pPr>
      <w:r>
        <w:rPr>
          <w:rFonts w:ascii="Arial" w:hAnsi="Arial" w:cs="Arial"/>
          <w:sz w:val="20"/>
        </w:rPr>
        <w:t xml:space="preserve">LPP-ja dhe Rregullat e Prokurimit mund të shkarkohen nga web-faqja e Komisionit Rregullativ për Prokurim Publik (KRPP): </w:t>
      </w:r>
      <w:r>
        <w:fldChar w:fldCharType="begin"/>
      </w:r>
      <w:r>
        <w:instrText xml:space="preserve"> HYPERLINK "http://www.krpp.rks-gov.net" </w:instrText>
      </w:r>
      <w:r>
        <w:fldChar w:fldCharType="separate"/>
      </w:r>
      <w:r>
        <w:rPr>
          <w:rStyle w:val="44"/>
          <w:rFonts w:ascii="Arial" w:hAnsi="Arial" w:cs="Arial"/>
          <w:b/>
          <w:sz w:val="20"/>
        </w:rPr>
        <w:t>www.krpp.rks-gov.net</w:t>
      </w:r>
      <w:r>
        <w:rPr>
          <w:rStyle w:val="44"/>
          <w:rFonts w:ascii="Arial" w:hAnsi="Arial" w:cs="Arial"/>
          <w:b/>
          <w:sz w:val="20"/>
        </w:rPr>
        <w:fldChar w:fldCharType="end"/>
      </w:r>
      <w:r>
        <w:rPr>
          <w:rFonts w:ascii="Arial" w:hAnsi="Arial" w:cs="Arial"/>
          <w:b/>
          <w:sz w:val="20"/>
        </w:rPr>
        <w:t>.</w:t>
      </w:r>
    </w:p>
    <w:p w14:paraId="76ED02D8">
      <w:pPr>
        <w:spacing w:after="0"/>
        <w:rPr>
          <w:rFonts w:ascii="Arial" w:hAnsi="Arial" w:cs="Arial"/>
          <w:sz w:val="20"/>
        </w:rPr>
      </w:pPr>
    </w:p>
    <w:p w14:paraId="5C3BBBDC">
      <w:pPr>
        <w:rPr>
          <w:rFonts w:ascii="Arial" w:hAnsi="Arial" w:cs="Arial"/>
          <w:sz w:val="20"/>
        </w:rPr>
      </w:pPr>
      <w:r>
        <w:rPr>
          <w:rFonts w:ascii="Arial" w:hAnsi="Arial" w:cs="Arial"/>
          <w:sz w:val="20"/>
        </w:rPr>
        <w:t>Tenderët duhet te dorëzohen ne adresën e specifikuar në pjesën A “Procedurat e Tenderimit para 31.03.2026 ora 14:00.</w:t>
      </w:r>
    </w:p>
    <w:p w14:paraId="0FD88837">
      <w:pPr>
        <w:rPr>
          <w:rFonts w:ascii="Arial" w:hAnsi="Arial" w:cs="Arial"/>
          <w:sz w:val="20"/>
        </w:rPr>
      </w:pPr>
      <w:r>
        <w:rPr>
          <w:rFonts w:ascii="Arial" w:hAnsi="Arial" w:cs="Arial"/>
          <w:sz w:val="20"/>
        </w:rPr>
        <w:t>Me dorëzimin e tenderit, tenderuesi pranon në mënyrë të plotë dhe pa rezervime, kushtet e veçanta dhe të përgjithshme që rregullojnë këtë kontratë te propozuar si një bazë të vetme te kësaj procedure te tenderimit.</w:t>
      </w:r>
    </w:p>
    <w:p w14:paraId="00EE6D17">
      <w:pPr>
        <w:spacing w:after="0"/>
        <w:rPr>
          <w:rFonts w:ascii="Arial" w:hAnsi="Arial" w:cs="Arial"/>
          <w:sz w:val="20"/>
        </w:rPr>
      </w:pPr>
      <w:r>
        <w:rPr>
          <w:rFonts w:ascii="Arial" w:hAnsi="Arial" w:cs="Arial"/>
          <w:sz w:val="20"/>
        </w:rPr>
        <w:t>Mirëpresim pranimin e Tenderit tuaj.</w:t>
      </w:r>
    </w:p>
    <w:p w14:paraId="55DBCD4B">
      <w:pPr>
        <w:spacing w:after="0"/>
        <w:rPr>
          <w:rFonts w:ascii="Arial" w:hAnsi="Arial" w:cs="Arial"/>
          <w:sz w:val="20"/>
        </w:rPr>
      </w:pPr>
    </w:p>
    <w:p w14:paraId="6C5F8A17">
      <w:pPr>
        <w:rPr>
          <w:rFonts w:ascii="Arial" w:hAnsi="Arial" w:cs="Arial"/>
          <w:sz w:val="20"/>
        </w:rPr>
      </w:pPr>
      <w:r>
        <w:rPr>
          <w:rFonts w:ascii="Arial" w:hAnsi="Arial" w:cs="Arial"/>
          <w:sz w:val="20"/>
        </w:rPr>
        <w:t xml:space="preserve">Nëse vendosni të mos e dorëzoni tenderin, do të ishim mirënjohës nëse do të na lajmëronit me shkrim, duke cekur arsyet e vendimit të juaj. </w:t>
      </w:r>
    </w:p>
    <w:p w14:paraId="2841837A">
      <w:pPr>
        <w:rPr>
          <w:rFonts w:ascii="Arial" w:hAnsi="Arial" w:cs="Arial"/>
          <w:sz w:val="20"/>
        </w:rPr>
      </w:pPr>
      <w:r>
        <w:rPr>
          <w:rFonts w:ascii="Arial" w:hAnsi="Arial" w:cs="Arial"/>
          <w:sz w:val="20"/>
        </w:rPr>
        <w:t xml:space="preserve">Me sinqeritet, </w:t>
      </w:r>
    </w:p>
    <w:p w14:paraId="20A1EB80">
      <w:pPr>
        <w:pStyle w:val="102"/>
        <w:jc w:val="center"/>
        <w:rPr>
          <w:sz w:val="16"/>
          <w:szCs w:val="16"/>
        </w:rPr>
      </w:pPr>
    </w:p>
    <w:p w14:paraId="5861E46F">
      <w:pPr>
        <w:pStyle w:val="102"/>
        <w:jc w:val="center"/>
        <w:rPr>
          <w:sz w:val="16"/>
          <w:szCs w:val="16"/>
        </w:rPr>
      </w:pPr>
    </w:p>
    <w:p w14:paraId="1E10397D">
      <w:pPr>
        <w:pStyle w:val="102"/>
        <w:jc w:val="center"/>
        <w:rPr>
          <w:sz w:val="16"/>
          <w:szCs w:val="16"/>
        </w:rPr>
      </w:pPr>
    </w:p>
    <w:p w14:paraId="3C5AC627">
      <w:pPr>
        <w:pStyle w:val="102"/>
        <w:jc w:val="center"/>
        <w:rPr>
          <w:sz w:val="16"/>
          <w:szCs w:val="16"/>
        </w:rPr>
      </w:pPr>
    </w:p>
    <w:p w14:paraId="59CB31FB">
      <w:pPr>
        <w:pStyle w:val="102"/>
        <w:jc w:val="center"/>
        <w:rPr>
          <w:sz w:val="16"/>
          <w:szCs w:val="16"/>
        </w:rPr>
      </w:pPr>
    </w:p>
    <w:p w14:paraId="10A60A92">
      <w:pPr>
        <w:pStyle w:val="102"/>
        <w:jc w:val="center"/>
        <w:rPr>
          <w:sz w:val="16"/>
          <w:szCs w:val="16"/>
        </w:rPr>
      </w:pPr>
    </w:p>
    <w:p w14:paraId="39EBEF26">
      <w:pPr>
        <w:pStyle w:val="102"/>
        <w:jc w:val="center"/>
        <w:rPr>
          <w:sz w:val="16"/>
          <w:szCs w:val="16"/>
        </w:rPr>
      </w:pPr>
    </w:p>
    <w:p w14:paraId="288F7BA5">
      <w:pPr>
        <w:pStyle w:val="102"/>
        <w:jc w:val="center"/>
        <w:rPr>
          <w:sz w:val="16"/>
          <w:szCs w:val="16"/>
        </w:rPr>
      </w:pPr>
    </w:p>
    <w:p w14:paraId="16872AED">
      <w:pPr>
        <w:pStyle w:val="102"/>
        <w:jc w:val="center"/>
        <w:rPr>
          <w:sz w:val="16"/>
          <w:szCs w:val="16"/>
        </w:rPr>
      </w:pPr>
    </w:p>
    <w:p w14:paraId="76A1CF2A">
      <w:pPr>
        <w:pStyle w:val="102"/>
        <w:jc w:val="center"/>
        <w:rPr>
          <w:sz w:val="16"/>
          <w:szCs w:val="16"/>
        </w:rPr>
      </w:pPr>
    </w:p>
    <w:p w14:paraId="563053EE">
      <w:pPr>
        <w:pStyle w:val="102"/>
        <w:jc w:val="center"/>
        <w:rPr>
          <w:sz w:val="16"/>
          <w:szCs w:val="16"/>
        </w:rPr>
      </w:pPr>
    </w:p>
    <w:p w14:paraId="7984ECBB">
      <w:pPr>
        <w:pStyle w:val="102"/>
        <w:jc w:val="center"/>
        <w:rPr>
          <w:sz w:val="16"/>
          <w:szCs w:val="16"/>
        </w:rPr>
      </w:pPr>
    </w:p>
    <w:p w14:paraId="2E9EF416">
      <w:pPr>
        <w:pStyle w:val="102"/>
        <w:jc w:val="center"/>
        <w:rPr>
          <w:sz w:val="16"/>
          <w:szCs w:val="16"/>
        </w:rPr>
      </w:pPr>
    </w:p>
    <w:p w14:paraId="56BEBEF2">
      <w:pPr>
        <w:pStyle w:val="102"/>
        <w:jc w:val="center"/>
        <w:rPr>
          <w:sz w:val="16"/>
          <w:szCs w:val="16"/>
        </w:rPr>
      </w:pPr>
    </w:p>
    <w:p w14:paraId="78B419A0">
      <w:pPr>
        <w:pStyle w:val="102"/>
        <w:jc w:val="center"/>
        <w:rPr>
          <w:sz w:val="16"/>
          <w:szCs w:val="16"/>
        </w:rPr>
      </w:pPr>
    </w:p>
    <w:p w14:paraId="54398106">
      <w:pPr>
        <w:pStyle w:val="102"/>
        <w:jc w:val="center"/>
        <w:rPr>
          <w:sz w:val="16"/>
          <w:szCs w:val="16"/>
        </w:rPr>
      </w:pPr>
    </w:p>
    <w:p w14:paraId="510616EC">
      <w:pPr>
        <w:pStyle w:val="102"/>
        <w:jc w:val="center"/>
        <w:rPr>
          <w:sz w:val="16"/>
          <w:szCs w:val="16"/>
        </w:rPr>
      </w:pPr>
    </w:p>
    <w:p w14:paraId="2C685C76">
      <w:pPr>
        <w:pStyle w:val="102"/>
        <w:jc w:val="center"/>
        <w:rPr>
          <w:sz w:val="16"/>
          <w:szCs w:val="16"/>
        </w:rPr>
      </w:pPr>
    </w:p>
    <w:p w14:paraId="07CABDC7">
      <w:pPr>
        <w:pStyle w:val="102"/>
        <w:jc w:val="center"/>
        <w:rPr>
          <w:sz w:val="16"/>
          <w:szCs w:val="16"/>
        </w:rPr>
      </w:pPr>
    </w:p>
    <w:p w14:paraId="45166ACC">
      <w:pPr>
        <w:pStyle w:val="102"/>
        <w:jc w:val="center"/>
        <w:rPr>
          <w:sz w:val="16"/>
          <w:szCs w:val="16"/>
        </w:rPr>
      </w:pPr>
      <w:r>
        <w:rPr>
          <w:sz w:val="16"/>
          <w:szCs w:val="16"/>
        </w:rPr>
        <w:t>PËRMBAJTJA E TABELËS</w:t>
      </w:r>
    </w:p>
    <w:p w14:paraId="080BDC58">
      <w:pPr>
        <w:pStyle w:val="102"/>
        <w:jc w:val="center"/>
        <w:rPr>
          <w:caps/>
          <w:sz w:val="16"/>
          <w:szCs w:val="16"/>
        </w:rPr>
      </w:pPr>
    </w:p>
    <w:p w14:paraId="4A10D357">
      <w:pPr>
        <w:pStyle w:val="102"/>
        <w:jc w:val="center"/>
        <w:rPr>
          <w:rFonts w:ascii="Arial" w:hAnsi="Arial" w:cs="Arial"/>
          <w:sz w:val="16"/>
          <w:szCs w:val="16"/>
        </w:rPr>
      </w:pPr>
    </w:p>
    <w:p w14:paraId="0288935D">
      <w:pPr>
        <w:pStyle w:val="91"/>
        <w:rPr>
          <w:rFonts w:asciiTheme="minorHAnsi" w:hAnsiTheme="minorHAnsi" w:eastAsiaTheme="minorEastAsia" w:cstheme="minorBidi"/>
          <w:caps w:val="0"/>
          <w:szCs w:val="22"/>
          <w:lang w:val="en-US" w:eastAsia="en-US"/>
        </w:rPr>
      </w:pPr>
      <w:r>
        <w:rPr>
          <w:rFonts w:ascii="Arial" w:hAnsi="Arial" w:cs="Arial"/>
          <w:sz w:val="16"/>
          <w:szCs w:val="16"/>
        </w:rPr>
        <w:fldChar w:fldCharType="begin"/>
      </w:r>
      <w:r>
        <w:rPr>
          <w:rFonts w:ascii="Arial" w:hAnsi="Arial" w:cs="Arial"/>
          <w:sz w:val="16"/>
          <w:szCs w:val="16"/>
        </w:rPr>
        <w:instrText xml:space="preserve"> TOC \o "3-3" \h \z \t "Heading 1,1,Heading 2,2,List Number,1" </w:instrText>
      </w:r>
      <w:r>
        <w:rPr>
          <w:rFonts w:ascii="Arial" w:hAnsi="Arial" w:cs="Arial"/>
          <w:sz w:val="16"/>
          <w:szCs w:val="16"/>
        </w:rPr>
        <w:fldChar w:fldCharType="separate"/>
      </w:r>
      <w:r>
        <w:fldChar w:fldCharType="begin"/>
      </w:r>
      <w:r>
        <w:instrText xml:space="preserve"> HYPERLINK \l "_Toc444607920" </w:instrText>
      </w:r>
      <w:r>
        <w:fldChar w:fldCharType="separate"/>
      </w:r>
      <w:r>
        <w:rPr>
          <w:rStyle w:val="44"/>
          <w:rFonts w:ascii="Arial" w:hAnsi="Arial" w:cs="Arial"/>
          <w:i/>
          <w:iCs/>
        </w:rPr>
        <w:t>PJESA   A:             PROCEDURAT E TENDERIMIT</w:t>
      </w:r>
      <w:r>
        <w:tab/>
      </w:r>
      <w:r>
        <w:fldChar w:fldCharType="begin"/>
      </w:r>
      <w:r>
        <w:instrText xml:space="preserve"> PAGEREF _Toc444607920 \h </w:instrText>
      </w:r>
      <w:r>
        <w:fldChar w:fldCharType="separate"/>
      </w:r>
      <w:r>
        <w:t>4</w:t>
      </w:r>
      <w:r>
        <w:fldChar w:fldCharType="end"/>
      </w:r>
      <w:r>
        <w:fldChar w:fldCharType="end"/>
      </w:r>
    </w:p>
    <w:p w14:paraId="4C8A19B2">
      <w:pPr>
        <w:pStyle w:val="91"/>
        <w:rPr>
          <w:rFonts w:asciiTheme="minorHAnsi" w:hAnsiTheme="minorHAnsi" w:eastAsiaTheme="minorEastAsia" w:cstheme="minorBidi"/>
          <w:caps w:val="0"/>
          <w:szCs w:val="22"/>
          <w:lang w:val="en-US" w:eastAsia="en-US"/>
        </w:rPr>
      </w:pPr>
      <w:r>
        <w:fldChar w:fldCharType="begin"/>
      </w:r>
      <w:r>
        <w:instrText xml:space="preserve"> HYPERLINK \l "_Toc444607921" </w:instrText>
      </w:r>
      <w:r>
        <w:fldChar w:fldCharType="separate"/>
      </w:r>
      <w:r>
        <w:rPr>
          <w:rStyle w:val="44"/>
          <w:rFonts w:ascii="Arial" w:hAnsi="Arial" w:cs="Arial"/>
        </w:rPr>
        <w:t>Seksioni I. INFORMACIONE PËR TENDERUESIT</w:t>
      </w:r>
      <w:r>
        <w:tab/>
      </w:r>
      <w:r>
        <w:fldChar w:fldCharType="begin"/>
      </w:r>
      <w:r>
        <w:instrText xml:space="preserve"> PAGEREF _Toc444607921 \h </w:instrText>
      </w:r>
      <w:r>
        <w:fldChar w:fldCharType="separate"/>
      </w:r>
      <w:r>
        <w:t>4</w:t>
      </w:r>
      <w:r>
        <w:fldChar w:fldCharType="end"/>
      </w:r>
      <w:r>
        <w:fldChar w:fldCharType="end"/>
      </w:r>
    </w:p>
    <w:p w14:paraId="6908A35F">
      <w:pPr>
        <w:pStyle w:val="91"/>
        <w:rPr>
          <w:rFonts w:asciiTheme="minorHAnsi" w:hAnsiTheme="minorHAnsi" w:eastAsiaTheme="minorEastAsia" w:cstheme="minorBidi"/>
          <w:caps w:val="0"/>
          <w:szCs w:val="22"/>
          <w:lang w:val="en-US" w:eastAsia="en-US"/>
        </w:rPr>
      </w:pPr>
      <w:r>
        <w:fldChar w:fldCharType="begin"/>
      </w:r>
      <w:r>
        <w:instrText xml:space="preserve"> HYPERLINK \l "_Toc444607922" </w:instrText>
      </w:r>
      <w:r>
        <w:fldChar w:fldCharType="separate"/>
      </w:r>
      <w:r>
        <w:rPr>
          <w:rStyle w:val="44"/>
          <w:rFonts w:ascii="Arial" w:hAnsi="Arial" w:cs="Arial"/>
        </w:rPr>
        <w:t>Të Përgjithshme</w:t>
      </w:r>
      <w:r>
        <w:tab/>
      </w:r>
      <w:r>
        <w:fldChar w:fldCharType="begin"/>
      </w:r>
      <w:r>
        <w:instrText xml:space="preserve"> PAGEREF _Toc444607922 \h </w:instrText>
      </w:r>
      <w:r>
        <w:fldChar w:fldCharType="separate"/>
      </w:r>
      <w:r>
        <w:t>4</w:t>
      </w:r>
      <w:r>
        <w:fldChar w:fldCharType="end"/>
      </w:r>
      <w:r>
        <w:fldChar w:fldCharType="end"/>
      </w:r>
    </w:p>
    <w:p w14:paraId="0B705EF6">
      <w:pPr>
        <w:pStyle w:val="91"/>
        <w:rPr>
          <w:rFonts w:asciiTheme="minorHAnsi" w:hAnsiTheme="minorHAnsi" w:eastAsiaTheme="minorEastAsia" w:cstheme="minorBidi"/>
          <w:caps w:val="0"/>
          <w:szCs w:val="22"/>
          <w:lang w:val="en-US" w:eastAsia="en-US"/>
        </w:rPr>
      </w:pPr>
      <w:r>
        <w:fldChar w:fldCharType="begin"/>
      </w:r>
      <w:r>
        <w:instrText xml:space="preserve"> HYPERLINK \l "_Toc444607923" </w:instrText>
      </w:r>
      <w:r>
        <w:fldChar w:fldCharType="separate"/>
      </w:r>
      <w:r>
        <w:rPr>
          <w:rStyle w:val="44"/>
          <w:rFonts w:ascii="Arial" w:hAnsi="Arial" w:cs="Arial"/>
        </w:rPr>
        <w:t>KËRKESAT që duhet të plotësohen nga OPERATORËT EKONOMIK</w:t>
      </w:r>
      <w:r>
        <w:tab/>
      </w:r>
      <w:r>
        <w:fldChar w:fldCharType="begin"/>
      </w:r>
      <w:r>
        <w:instrText xml:space="preserve"> PAGEREF _Toc444607923 \h </w:instrText>
      </w:r>
      <w:r>
        <w:fldChar w:fldCharType="separate"/>
      </w:r>
      <w:r>
        <w:t>5</w:t>
      </w:r>
      <w:r>
        <w:fldChar w:fldCharType="end"/>
      </w:r>
      <w:r>
        <w:fldChar w:fldCharType="end"/>
      </w:r>
    </w:p>
    <w:p w14:paraId="70F7C8F9">
      <w:pPr>
        <w:pStyle w:val="91"/>
        <w:rPr>
          <w:rFonts w:asciiTheme="minorHAnsi" w:hAnsiTheme="minorHAnsi" w:eastAsiaTheme="minorEastAsia" w:cstheme="minorBidi"/>
          <w:caps w:val="0"/>
          <w:szCs w:val="22"/>
          <w:lang w:val="en-US" w:eastAsia="en-US"/>
        </w:rPr>
      </w:pPr>
      <w:r>
        <w:fldChar w:fldCharType="begin"/>
      </w:r>
      <w:r>
        <w:instrText xml:space="preserve"> HYPERLINK \l "_Toc444607924" </w:instrText>
      </w:r>
      <w:r>
        <w:fldChar w:fldCharType="separate"/>
      </w:r>
      <w:r>
        <w:rPr>
          <w:rStyle w:val="44"/>
          <w:rFonts w:ascii="Arial" w:hAnsi="Arial" w:cs="Arial"/>
        </w:rPr>
        <w:t>Përmbajtja e Dosjes së Tenderit</w:t>
      </w:r>
      <w:r>
        <w:tab/>
      </w:r>
      <w:r>
        <w:fldChar w:fldCharType="begin"/>
      </w:r>
      <w:r>
        <w:instrText xml:space="preserve"> PAGEREF _Toc444607924 \h </w:instrText>
      </w:r>
      <w:r>
        <w:fldChar w:fldCharType="separate"/>
      </w:r>
      <w:r>
        <w:t>9</w:t>
      </w:r>
      <w:r>
        <w:fldChar w:fldCharType="end"/>
      </w:r>
      <w:r>
        <w:fldChar w:fldCharType="end"/>
      </w:r>
    </w:p>
    <w:p w14:paraId="6CE5EED7">
      <w:pPr>
        <w:pStyle w:val="91"/>
        <w:rPr>
          <w:rFonts w:asciiTheme="minorHAnsi" w:hAnsiTheme="minorHAnsi" w:eastAsiaTheme="minorEastAsia" w:cstheme="minorBidi"/>
          <w:caps w:val="0"/>
          <w:szCs w:val="22"/>
          <w:lang w:val="en-US" w:eastAsia="en-US"/>
        </w:rPr>
      </w:pPr>
      <w:r>
        <w:fldChar w:fldCharType="begin"/>
      </w:r>
      <w:r>
        <w:instrText xml:space="preserve"> HYPERLINK \l "_Toc444607925" </w:instrText>
      </w:r>
      <w:r>
        <w:fldChar w:fldCharType="separate"/>
      </w:r>
      <w:r>
        <w:rPr>
          <w:rStyle w:val="44"/>
          <w:rFonts w:ascii="Arial" w:hAnsi="Arial" w:cs="Arial"/>
        </w:rPr>
        <w:t>Përgatitja e TENDERIT</w:t>
      </w:r>
      <w:r>
        <w:tab/>
      </w:r>
      <w:r>
        <w:fldChar w:fldCharType="begin"/>
      </w:r>
      <w:r>
        <w:instrText xml:space="preserve"> PAGEREF _Toc444607925 \h </w:instrText>
      </w:r>
      <w:r>
        <w:fldChar w:fldCharType="separate"/>
      </w:r>
      <w:r>
        <w:t>9</w:t>
      </w:r>
      <w:r>
        <w:fldChar w:fldCharType="end"/>
      </w:r>
      <w:r>
        <w:fldChar w:fldCharType="end"/>
      </w:r>
    </w:p>
    <w:p w14:paraId="4C08AE02">
      <w:pPr>
        <w:pStyle w:val="91"/>
        <w:rPr>
          <w:rFonts w:asciiTheme="minorHAnsi" w:hAnsiTheme="minorHAnsi" w:eastAsiaTheme="minorEastAsia" w:cstheme="minorBidi"/>
          <w:caps w:val="0"/>
          <w:szCs w:val="22"/>
          <w:lang w:val="en-US" w:eastAsia="en-US"/>
        </w:rPr>
      </w:pPr>
      <w:r>
        <w:fldChar w:fldCharType="begin"/>
      </w:r>
      <w:r>
        <w:instrText xml:space="preserve"> HYPERLINK \l "_Toc444607926" </w:instrText>
      </w:r>
      <w:r>
        <w:fldChar w:fldCharType="separate"/>
      </w:r>
      <w:r>
        <w:rPr>
          <w:rStyle w:val="44"/>
          <w:rFonts w:ascii="Arial" w:hAnsi="Arial" w:cs="Arial"/>
          <w:lang w:eastAsia="en-US"/>
        </w:rPr>
        <w:t>Dorëzimi dhe Hapja e Tenderëve</w:t>
      </w:r>
      <w:r>
        <w:tab/>
      </w:r>
      <w:r>
        <w:fldChar w:fldCharType="begin"/>
      </w:r>
      <w:r>
        <w:instrText xml:space="preserve"> PAGEREF _Toc444607926 \h </w:instrText>
      </w:r>
      <w:r>
        <w:fldChar w:fldCharType="separate"/>
      </w:r>
      <w:r>
        <w:t>11</w:t>
      </w:r>
      <w:r>
        <w:fldChar w:fldCharType="end"/>
      </w:r>
      <w:r>
        <w:fldChar w:fldCharType="end"/>
      </w:r>
    </w:p>
    <w:p w14:paraId="04085EF8">
      <w:pPr>
        <w:pStyle w:val="91"/>
        <w:rPr>
          <w:rFonts w:asciiTheme="minorHAnsi" w:hAnsiTheme="minorHAnsi" w:eastAsiaTheme="minorEastAsia" w:cstheme="minorBidi"/>
          <w:caps w:val="0"/>
          <w:szCs w:val="22"/>
          <w:lang w:val="en-US" w:eastAsia="en-US"/>
        </w:rPr>
      </w:pPr>
      <w:r>
        <w:fldChar w:fldCharType="begin"/>
      </w:r>
      <w:r>
        <w:instrText xml:space="preserve"> HYPERLINK \l "_Toc444607927" </w:instrText>
      </w:r>
      <w:r>
        <w:fldChar w:fldCharType="separate"/>
      </w:r>
      <w:r>
        <w:rPr>
          <w:rStyle w:val="44"/>
          <w:rFonts w:ascii="Arial" w:hAnsi="Arial" w:cs="Arial"/>
        </w:rPr>
        <w:t>Vlerësimi dhe Krahasimi i Tenderëve</w:t>
      </w:r>
      <w:r>
        <w:tab/>
      </w:r>
      <w:r>
        <w:fldChar w:fldCharType="begin"/>
      </w:r>
      <w:r>
        <w:instrText xml:space="preserve"> PAGEREF _Toc444607927 \h </w:instrText>
      </w:r>
      <w:r>
        <w:fldChar w:fldCharType="separate"/>
      </w:r>
      <w:r>
        <w:t>12</w:t>
      </w:r>
      <w:r>
        <w:fldChar w:fldCharType="end"/>
      </w:r>
      <w:r>
        <w:fldChar w:fldCharType="end"/>
      </w:r>
    </w:p>
    <w:p w14:paraId="502FF435">
      <w:pPr>
        <w:pStyle w:val="91"/>
        <w:rPr>
          <w:rFonts w:asciiTheme="minorHAnsi" w:hAnsiTheme="minorHAnsi" w:eastAsiaTheme="minorEastAsia" w:cstheme="minorBidi"/>
          <w:caps w:val="0"/>
          <w:szCs w:val="22"/>
          <w:lang w:val="en-US" w:eastAsia="en-US"/>
        </w:rPr>
      </w:pPr>
      <w:r>
        <w:fldChar w:fldCharType="begin"/>
      </w:r>
      <w:r>
        <w:instrText xml:space="preserve"> HYPERLINK \l "_Toc444607928" </w:instrText>
      </w:r>
      <w:r>
        <w:fldChar w:fldCharType="separate"/>
      </w:r>
      <w:r>
        <w:rPr>
          <w:rStyle w:val="44"/>
          <w:rFonts w:ascii="Arial" w:hAnsi="Arial" w:cs="Arial"/>
          <w:bCs/>
        </w:rPr>
        <w:t>Dh</w:t>
      </w:r>
      <w:r>
        <w:rPr>
          <w:rStyle w:val="44"/>
          <w:rFonts w:ascii="Arial" w:hAnsi="Arial" w:cs="Arial"/>
        </w:rPr>
        <w:t>ënia e Kontratës</w:t>
      </w:r>
      <w:r>
        <w:tab/>
      </w:r>
      <w:r>
        <w:fldChar w:fldCharType="begin"/>
      </w:r>
      <w:r>
        <w:instrText xml:space="preserve"> PAGEREF _Toc444607928 \h </w:instrText>
      </w:r>
      <w:r>
        <w:fldChar w:fldCharType="separate"/>
      </w:r>
      <w:r>
        <w:t>13</w:t>
      </w:r>
      <w:r>
        <w:fldChar w:fldCharType="end"/>
      </w:r>
      <w:r>
        <w:fldChar w:fldCharType="end"/>
      </w:r>
    </w:p>
    <w:p w14:paraId="5AB88439">
      <w:pPr>
        <w:pStyle w:val="91"/>
        <w:rPr>
          <w:rFonts w:asciiTheme="minorHAnsi" w:hAnsiTheme="minorHAnsi" w:eastAsiaTheme="minorEastAsia" w:cstheme="minorBidi"/>
          <w:caps w:val="0"/>
          <w:szCs w:val="22"/>
          <w:lang w:val="en-US" w:eastAsia="en-US"/>
        </w:rPr>
      </w:pPr>
      <w:r>
        <w:fldChar w:fldCharType="begin"/>
      </w:r>
      <w:r>
        <w:instrText xml:space="preserve"> HYPERLINK \l "_Toc444607929" </w:instrText>
      </w:r>
      <w:r>
        <w:fldChar w:fldCharType="separate"/>
      </w:r>
      <w:r>
        <w:rPr>
          <w:rStyle w:val="44"/>
          <w:rFonts w:ascii="Arial" w:hAnsi="Arial" w:cs="Arial"/>
        </w:rPr>
        <w:t>Seksioni II. FLETA E TË DHENAVE tË Tenderit (FTD)</w:t>
      </w:r>
      <w:r>
        <w:tab/>
      </w:r>
      <w:r>
        <w:fldChar w:fldCharType="begin"/>
      </w:r>
      <w:r>
        <w:instrText xml:space="preserve"> PAGEREF _Toc444607929 \h </w:instrText>
      </w:r>
      <w:r>
        <w:fldChar w:fldCharType="separate"/>
      </w:r>
      <w:r>
        <w:t>15</w:t>
      </w:r>
      <w:r>
        <w:fldChar w:fldCharType="end"/>
      </w:r>
      <w:r>
        <w:fldChar w:fldCharType="end"/>
      </w:r>
    </w:p>
    <w:p w14:paraId="73B558EB">
      <w:pPr>
        <w:pStyle w:val="91"/>
        <w:rPr>
          <w:rFonts w:asciiTheme="minorHAnsi" w:hAnsiTheme="minorHAnsi" w:eastAsiaTheme="minorEastAsia" w:cstheme="minorBidi"/>
          <w:caps w:val="0"/>
          <w:szCs w:val="22"/>
          <w:lang w:val="en-US" w:eastAsia="en-US"/>
        </w:rPr>
      </w:pPr>
      <w:r>
        <w:fldChar w:fldCharType="begin"/>
      </w:r>
      <w:r>
        <w:instrText xml:space="preserve"> HYPERLINK \l "_Toc444607930" </w:instrText>
      </w:r>
      <w:r>
        <w:fldChar w:fldCharType="separate"/>
      </w:r>
      <w:r>
        <w:rPr>
          <w:rStyle w:val="44"/>
          <w:rFonts w:ascii="Arial" w:hAnsi="Arial" w:cs="Arial"/>
        </w:rPr>
        <w:t>ANEks 1  SPECIFIKIMET TEKNIKE TË DETYRUESHME</w:t>
      </w:r>
      <w:r>
        <w:tab/>
      </w:r>
      <w:r>
        <w:fldChar w:fldCharType="begin"/>
      </w:r>
      <w:r>
        <w:instrText xml:space="preserve"> PAGEREF _Toc444607930 \h </w:instrText>
      </w:r>
      <w:r>
        <w:fldChar w:fldCharType="separate"/>
      </w:r>
      <w:r>
        <w:t>19</w:t>
      </w:r>
      <w:r>
        <w:fldChar w:fldCharType="end"/>
      </w:r>
      <w:r>
        <w:fldChar w:fldCharType="end"/>
      </w:r>
    </w:p>
    <w:p w14:paraId="0F2123E3">
      <w:pPr>
        <w:pStyle w:val="91"/>
        <w:tabs>
          <w:tab w:val="left" w:pos="1917"/>
        </w:tabs>
        <w:rPr>
          <w:rFonts w:asciiTheme="minorHAnsi" w:hAnsiTheme="minorHAnsi" w:eastAsiaTheme="minorEastAsia" w:cstheme="minorBidi"/>
          <w:caps w:val="0"/>
          <w:szCs w:val="22"/>
          <w:lang w:val="en-US" w:eastAsia="en-US"/>
        </w:rPr>
      </w:pPr>
      <w:r>
        <w:fldChar w:fldCharType="begin"/>
      </w:r>
      <w:r>
        <w:instrText xml:space="preserve"> HYPERLINK \l "_Toc444607931" </w:instrText>
      </w:r>
      <w:r>
        <w:fldChar w:fldCharType="separate"/>
      </w:r>
      <w:r>
        <w:rPr>
          <w:rStyle w:val="44"/>
          <w:rFonts w:ascii="Arial" w:hAnsi="Arial" w:cs="Arial"/>
        </w:rPr>
        <w:t xml:space="preserve">Aneksi 2 </w:t>
      </w:r>
      <w:r>
        <w:rPr>
          <w:rFonts w:asciiTheme="minorHAnsi" w:hAnsiTheme="minorHAnsi" w:eastAsiaTheme="minorEastAsia" w:cstheme="minorBidi"/>
          <w:caps w:val="0"/>
          <w:szCs w:val="22"/>
          <w:lang w:val="en-US" w:eastAsia="en-US"/>
        </w:rPr>
        <w:tab/>
      </w:r>
      <w:r>
        <w:rPr>
          <w:rStyle w:val="44"/>
          <w:rFonts w:ascii="Arial" w:hAnsi="Arial" w:cs="Arial"/>
        </w:rPr>
        <w:t xml:space="preserve"> DEKLARATA NËN BETIM</w:t>
      </w:r>
      <w:r>
        <w:tab/>
      </w:r>
      <w:r>
        <w:fldChar w:fldCharType="begin"/>
      </w:r>
      <w:r>
        <w:instrText xml:space="preserve"> PAGEREF _Toc444607931 \h </w:instrText>
      </w:r>
      <w:r>
        <w:fldChar w:fldCharType="separate"/>
      </w:r>
      <w:r>
        <w:t>20</w:t>
      </w:r>
      <w:r>
        <w:fldChar w:fldCharType="end"/>
      </w:r>
      <w:r>
        <w:fldChar w:fldCharType="end"/>
      </w:r>
    </w:p>
    <w:p w14:paraId="056A8054">
      <w:pPr>
        <w:pStyle w:val="91"/>
        <w:tabs>
          <w:tab w:val="left" w:pos="1917"/>
        </w:tabs>
        <w:rPr>
          <w:rFonts w:asciiTheme="minorHAnsi" w:hAnsiTheme="minorHAnsi" w:eastAsiaTheme="minorEastAsia" w:cstheme="minorBidi"/>
          <w:caps w:val="0"/>
          <w:szCs w:val="22"/>
          <w:lang w:val="en-US" w:eastAsia="en-US"/>
        </w:rPr>
      </w:pPr>
      <w:r>
        <w:fldChar w:fldCharType="begin"/>
      </w:r>
      <w:r>
        <w:instrText xml:space="preserve"> HYPERLINK \l "_Toc444607932" </w:instrText>
      </w:r>
      <w:r>
        <w:fldChar w:fldCharType="separate"/>
      </w:r>
      <w:r>
        <w:rPr>
          <w:rStyle w:val="44"/>
          <w:rFonts w:ascii="Arial" w:hAnsi="Arial" w:cs="Arial"/>
        </w:rPr>
        <w:t xml:space="preserve">Aneksi 3 </w:t>
      </w:r>
      <w:r>
        <w:rPr>
          <w:rFonts w:asciiTheme="minorHAnsi" w:hAnsiTheme="minorHAnsi" w:eastAsiaTheme="minorEastAsia" w:cstheme="minorBidi"/>
          <w:caps w:val="0"/>
          <w:szCs w:val="22"/>
          <w:lang w:val="en-US" w:eastAsia="en-US"/>
        </w:rPr>
        <w:tab/>
      </w:r>
      <w:r>
        <w:rPr>
          <w:rStyle w:val="44"/>
          <w:rFonts w:ascii="Arial" w:hAnsi="Arial" w:cs="Arial"/>
        </w:rPr>
        <w:t>KËRKESA PËR SEKRET AFARIST</w:t>
      </w:r>
      <w:r>
        <w:tab/>
      </w:r>
      <w:r>
        <w:fldChar w:fldCharType="begin"/>
      </w:r>
      <w:r>
        <w:instrText xml:space="preserve"> PAGEREF _Toc444607932 \h </w:instrText>
      </w:r>
      <w:r>
        <w:fldChar w:fldCharType="separate"/>
      </w:r>
      <w:r>
        <w:t>21</w:t>
      </w:r>
      <w:r>
        <w:fldChar w:fldCharType="end"/>
      </w:r>
      <w:r>
        <w:fldChar w:fldCharType="end"/>
      </w:r>
    </w:p>
    <w:p w14:paraId="61C9C738">
      <w:pPr>
        <w:pStyle w:val="91"/>
        <w:tabs>
          <w:tab w:val="left" w:pos="1917"/>
        </w:tabs>
        <w:rPr>
          <w:rFonts w:asciiTheme="minorHAnsi" w:hAnsiTheme="minorHAnsi" w:eastAsiaTheme="minorEastAsia" w:cstheme="minorBidi"/>
          <w:caps w:val="0"/>
          <w:szCs w:val="22"/>
          <w:lang w:val="en-US" w:eastAsia="en-US"/>
        </w:rPr>
      </w:pPr>
      <w:r>
        <w:fldChar w:fldCharType="begin"/>
      </w:r>
      <w:r>
        <w:instrText xml:space="preserve"> HYPERLINK \l "_Toc444607933" </w:instrText>
      </w:r>
      <w:r>
        <w:fldChar w:fldCharType="separate"/>
      </w:r>
      <w:r>
        <w:rPr>
          <w:rStyle w:val="44"/>
          <w:rFonts w:ascii="Arial" w:hAnsi="Arial" w:cs="Arial"/>
        </w:rPr>
        <w:t xml:space="preserve">Aneksi 4 </w:t>
      </w:r>
      <w:r>
        <w:rPr>
          <w:rFonts w:asciiTheme="minorHAnsi" w:hAnsiTheme="minorHAnsi" w:eastAsiaTheme="minorEastAsia" w:cstheme="minorBidi"/>
          <w:caps w:val="0"/>
          <w:szCs w:val="22"/>
          <w:lang w:val="en-US" w:eastAsia="en-US"/>
        </w:rPr>
        <w:tab/>
      </w:r>
      <w:r>
        <w:rPr>
          <w:rStyle w:val="44"/>
          <w:rFonts w:ascii="Arial" w:hAnsi="Arial" w:cs="Arial"/>
        </w:rPr>
        <w:t xml:space="preserve"> SIGURIA E TENDERIT</w:t>
      </w:r>
      <w:r>
        <w:tab/>
      </w:r>
      <w:r>
        <w:fldChar w:fldCharType="begin"/>
      </w:r>
      <w:r>
        <w:instrText xml:space="preserve"> PAGEREF _Toc444607933 \h </w:instrText>
      </w:r>
      <w:r>
        <w:fldChar w:fldCharType="separate"/>
      </w:r>
      <w:r>
        <w:t>22</w:t>
      </w:r>
      <w:r>
        <w:fldChar w:fldCharType="end"/>
      </w:r>
      <w:r>
        <w:fldChar w:fldCharType="end"/>
      </w:r>
    </w:p>
    <w:p w14:paraId="14EC8BBC">
      <w:pPr>
        <w:pStyle w:val="91"/>
        <w:tabs>
          <w:tab w:val="left" w:pos="1917"/>
        </w:tabs>
        <w:rPr>
          <w:rFonts w:asciiTheme="minorHAnsi" w:hAnsiTheme="minorHAnsi" w:eastAsiaTheme="minorEastAsia" w:cstheme="minorBidi"/>
          <w:caps w:val="0"/>
          <w:szCs w:val="22"/>
          <w:lang w:val="en-US" w:eastAsia="en-US"/>
        </w:rPr>
      </w:pPr>
      <w:r>
        <w:fldChar w:fldCharType="begin"/>
      </w:r>
      <w:r>
        <w:instrText xml:space="preserve"> HYPERLINK \l "_Toc444607934" </w:instrText>
      </w:r>
      <w:r>
        <w:fldChar w:fldCharType="separate"/>
      </w:r>
      <w:r>
        <w:rPr>
          <w:rStyle w:val="44"/>
          <w:rFonts w:ascii="Arial" w:hAnsi="Arial" w:cs="Arial"/>
        </w:rPr>
        <w:t>Aneksi 5</w:t>
      </w:r>
      <w:r>
        <w:rPr>
          <w:rFonts w:asciiTheme="minorHAnsi" w:hAnsiTheme="minorHAnsi" w:eastAsiaTheme="minorEastAsia" w:cstheme="minorBidi"/>
          <w:caps w:val="0"/>
          <w:szCs w:val="22"/>
          <w:lang w:val="en-US" w:eastAsia="en-US"/>
        </w:rPr>
        <w:tab/>
      </w:r>
      <w:r>
        <w:rPr>
          <w:rStyle w:val="44"/>
          <w:rFonts w:ascii="Arial" w:hAnsi="Arial" w:cs="Arial"/>
        </w:rPr>
        <w:t xml:space="preserve">    KËRKESA PËR INFORMACIONE SHTESË</w:t>
      </w:r>
      <w:r>
        <w:tab/>
      </w:r>
      <w:r>
        <w:fldChar w:fldCharType="begin"/>
      </w:r>
      <w:r>
        <w:instrText xml:space="preserve"> PAGEREF _Toc444607934 \h </w:instrText>
      </w:r>
      <w:r>
        <w:fldChar w:fldCharType="separate"/>
      </w:r>
      <w:r>
        <w:t>23</w:t>
      </w:r>
      <w:r>
        <w:fldChar w:fldCharType="end"/>
      </w:r>
      <w:r>
        <w:fldChar w:fldCharType="end"/>
      </w:r>
    </w:p>
    <w:p w14:paraId="51B95D59">
      <w:pPr>
        <w:pStyle w:val="91"/>
        <w:tabs>
          <w:tab w:val="left" w:pos="1917"/>
        </w:tabs>
        <w:rPr>
          <w:rFonts w:asciiTheme="minorHAnsi" w:hAnsiTheme="minorHAnsi" w:eastAsiaTheme="minorEastAsia" w:cstheme="minorBidi"/>
          <w:caps w:val="0"/>
          <w:szCs w:val="22"/>
          <w:lang w:val="en-US" w:eastAsia="en-US"/>
        </w:rPr>
      </w:pPr>
      <w:r>
        <w:fldChar w:fldCharType="begin"/>
      </w:r>
      <w:r>
        <w:instrText xml:space="preserve"> HYPERLINK \l "_Toc444607935" </w:instrText>
      </w:r>
      <w:r>
        <w:fldChar w:fldCharType="separate"/>
      </w:r>
      <w:r>
        <w:rPr>
          <w:rStyle w:val="44"/>
          <w:rFonts w:ascii="Arial" w:hAnsi="Arial" w:cs="Arial"/>
        </w:rPr>
        <w:t xml:space="preserve">Aneksi 6. </w:t>
      </w:r>
      <w:r>
        <w:rPr>
          <w:rFonts w:asciiTheme="minorHAnsi" w:hAnsiTheme="minorHAnsi" w:eastAsiaTheme="minorEastAsia" w:cstheme="minorBidi"/>
          <w:caps w:val="0"/>
          <w:szCs w:val="22"/>
          <w:lang w:val="en-US" w:eastAsia="en-US"/>
        </w:rPr>
        <w:tab/>
      </w:r>
      <w:r>
        <w:rPr>
          <w:rStyle w:val="44"/>
          <w:rFonts w:ascii="Arial" w:hAnsi="Arial" w:cs="Arial"/>
        </w:rPr>
        <w:t>KRITERET PËR DHËNIEN E KONTRATËS</w:t>
      </w:r>
      <w:r>
        <w:rPr>
          <w:rStyle w:val="44"/>
          <w:rFonts w:ascii="Arial" w:hAnsi="Arial" w:cs="Arial"/>
          <w:vertAlign w:val="superscript"/>
        </w:rPr>
        <w:t>2</w:t>
      </w:r>
      <w:r>
        <w:tab/>
      </w:r>
      <w:r>
        <w:fldChar w:fldCharType="begin"/>
      </w:r>
      <w:r>
        <w:instrText xml:space="preserve"> PAGEREF _Toc444607935 \h </w:instrText>
      </w:r>
      <w:r>
        <w:fldChar w:fldCharType="separate"/>
      </w:r>
      <w:r>
        <w:t>24</w:t>
      </w:r>
      <w:r>
        <w:fldChar w:fldCharType="end"/>
      </w:r>
      <w:r>
        <w:fldChar w:fldCharType="end"/>
      </w:r>
    </w:p>
    <w:p w14:paraId="4F3F060F">
      <w:pPr>
        <w:pStyle w:val="91"/>
        <w:rPr>
          <w:rFonts w:asciiTheme="minorHAnsi" w:hAnsiTheme="minorHAnsi" w:eastAsiaTheme="minorEastAsia" w:cstheme="minorBidi"/>
          <w:caps w:val="0"/>
          <w:szCs w:val="22"/>
          <w:lang w:val="en-US" w:eastAsia="en-US"/>
        </w:rPr>
      </w:pPr>
      <w:r>
        <w:fldChar w:fldCharType="begin"/>
      </w:r>
      <w:r>
        <w:instrText xml:space="preserve"> HYPERLINK \l "_Toc444607936" </w:instrText>
      </w:r>
      <w:r>
        <w:fldChar w:fldCharType="separate"/>
      </w:r>
      <w:r>
        <w:rPr>
          <w:rStyle w:val="44"/>
          <w:rFonts w:ascii="Arial" w:hAnsi="Arial" w:cs="Arial"/>
        </w:rPr>
        <w:t xml:space="preserve">PJESA B:         </w:t>
      </w:r>
      <w:r>
        <w:rPr>
          <w:rStyle w:val="44"/>
          <w:rFonts w:ascii="Arial" w:hAnsi="Arial" w:cs="Arial"/>
          <w:i/>
        </w:rPr>
        <w:t xml:space="preserve">Draft KONTRATA </w:t>
      </w:r>
      <w:r>
        <w:rPr>
          <w:rStyle w:val="44"/>
          <w:rFonts w:ascii="Arial" w:hAnsi="Arial" w:cs="Arial"/>
        </w:rPr>
        <w:t>&amp; KUSHTET SPECIALE &amp; ANEKSET E NDËRLIDHURA</w:t>
      </w:r>
      <w:r>
        <w:tab/>
      </w:r>
      <w:r>
        <w:fldChar w:fldCharType="begin"/>
      </w:r>
      <w:r>
        <w:instrText xml:space="preserve"> PAGEREF _Toc444607936 \h </w:instrText>
      </w:r>
      <w:r>
        <w:fldChar w:fldCharType="separate"/>
      </w:r>
      <w:r>
        <w:t>25</w:t>
      </w:r>
      <w:r>
        <w:fldChar w:fldCharType="end"/>
      </w:r>
      <w:r>
        <w:fldChar w:fldCharType="end"/>
      </w:r>
    </w:p>
    <w:p w14:paraId="3FD8486A">
      <w:pPr>
        <w:pStyle w:val="91"/>
        <w:rPr>
          <w:rFonts w:asciiTheme="minorHAnsi" w:hAnsiTheme="minorHAnsi" w:eastAsiaTheme="minorEastAsia" w:cstheme="minorBidi"/>
          <w:caps w:val="0"/>
          <w:szCs w:val="22"/>
          <w:lang w:val="en-US" w:eastAsia="en-US"/>
        </w:rPr>
      </w:pPr>
      <w:r>
        <w:fldChar w:fldCharType="begin"/>
      </w:r>
      <w:r>
        <w:instrText xml:space="preserve"> HYPERLINK \l "_Toc444607937" </w:instrText>
      </w:r>
      <w:r>
        <w:fldChar w:fldCharType="separate"/>
      </w:r>
      <w:r>
        <w:rPr>
          <w:rStyle w:val="44"/>
          <w:rFonts w:ascii="Arial" w:hAnsi="Arial" w:cs="Arial"/>
          <w:smallCaps/>
        </w:rPr>
        <w:t>PJESA I  E KONTRATËS</w:t>
      </w:r>
      <w:r>
        <w:rPr>
          <w:rStyle w:val="44"/>
          <w:rFonts w:ascii="Arial" w:hAnsi="Arial" w:cs="Arial"/>
        </w:rPr>
        <w:t xml:space="preserve">:             </w:t>
      </w:r>
      <w:r>
        <w:rPr>
          <w:rStyle w:val="44"/>
          <w:rFonts w:ascii="Arial" w:hAnsi="Arial" w:cs="Arial"/>
          <w:smallCaps/>
        </w:rPr>
        <w:t>DRAFT KONTRATA</w:t>
      </w:r>
      <w:r>
        <w:tab/>
      </w:r>
      <w:r>
        <w:fldChar w:fldCharType="begin"/>
      </w:r>
      <w:r>
        <w:instrText xml:space="preserve"> PAGEREF _Toc444607937 \h </w:instrText>
      </w:r>
      <w:r>
        <w:fldChar w:fldCharType="separate"/>
      </w:r>
      <w:r>
        <w:t>25</w:t>
      </w:r>
      <w:r>
        <w:fldChar w:fldCharType="end"/>
      </w:r>
      <w:r>
        <w:fldChar w:fldCharType="end"/>
      </w:r>
    </w:p>
    <w:p w14:paraId="675ED19D">
      <w:pPr>
        <w:pStyle w:val="91"/>
        <w:rPr>
          <w:rFonts w:asciiTheme="minorHAnsi" w:hAnsiTheme="minorHAnsi" w:eastAsiaTheme="minorEastAsia" w:cstheme="minorBidi"/>
          <w:caps w:val="0"/>
          <w:szCs w:val="22"/>
          <w:lang w:val="en-US" w:eastAsia="en-US"/>
        </w:rPr>
      </w:pPr>
      <w:r>
        <w:fldChar w:fldCharType="begin"/>
      </w:r>
      <w:r>
        <w:instrText xml:space="preserve"> HYPERLINK \l "_Toc444607938" </w:instrText>
      </w:r>
      <w:r>
        <w:fldChar w:fldCharType="separate"/>
      </w:r>
      <w:r>
        <w:rPr>
          <w:rStyle w:val="44"/>
          <w:rFonts w:ascii="Arial" w:hAnsi="Arial" w:cs="Arial"/>
          <w:smallCaps/>
        </w:rPr>
        <w:t>PJESA II E KONTRATES</w:t>
      </w:r>
      <w:r>
        <w:rPr>
          <w:rStyle w:val="44"/>
          <w:smallCaps/>
        </w:rPr>
        <w:t xml:space="preserve">            </w:t>
      </w:r>
      <w:r>
        <w:rPr>
          <w:rStyle w:val="44"/>
          <w:rFonts w:ascii="Arial" w:hAnsi="Arial" w:cs="Arial"/>
          <w:smallCaps/>
        </w:rPr>
        <w:t>KUSHTET E PËRGJITHSHME</w:t>
      </w:r>
      <w:r>
        <w:tab/>
      </w:r>
      <w:r>
        <w:fldChar w:fldCharType="begin"/>
      </w:r>
      <w:r>
        <w:instrText xml:space="preserve"> PAGEREF _Toc444607938 \h </w:instrText>
      </w:r>
      <w:r>
        <w:fldChar w:fldCharType="separate"/>
      </w:r>
      <w:r>
        <w:t>27</w:t>
      </w:r>
      <w:r>
        <w:fldChar w:fldCharType="end"/>
      </w:r>
      <w:r>
        <w:fldChar w:fldCharType="end"/>
      </w:r>
    </w:p>
    <w:p w14:paraId="3B9C5C56">
      <w:pPr>
        <w:pStyle w:val="91"/>
        <w:rPr>
          <w:rFonts w:asciiTheme="minorHAnsi" w:hAnsiTheme="minorHAnsi" w:eastAsiaTheme="minorEastAsia" w:cstheme="minorBidi"/>
          <w:caps w:val="0"/>
          <w:szCs w:val="22"/>
          <w:lang w:val="en-US" w:eastAsia="en-US"/>
        </w:rPr>
      </w:pPr>
      <w:r>
        <w:fldChar w:fldCharType="begin"/>
      </w:r>
      <w:r>
        <w:instrText xml:space="preserve"> HYPERLINK \l "_Toc444607939" </w:instrText>
      </w:r>
      <w:r>
        <w:fldChar w:fldCharType="separate"/>
      </w:r>
      <w:r>
        <w:rPr>
          <w:rStyle w:val="44"/>
          <w:rFonts w:ascii="Arial" w:hAnsi="Arial" w:cs="Arial"/>
          <w:smallCaps/>
        </w:rPr>
        <w:t>PJESA III   E KONTRATES         kushtet e veçanta</w:t>
      </w:r>
      <w:r>
        <w:tab/>
      </w:r>
      <w:r>
        <w:fldChar w:fldCharType="begin"/>
      </w:r>
      <w:r>
        <w:instrText xml:space="preserve"> PAGEREF _Toc444607939 \h </w:instrText>
      </w:r>
      <w:r>
        <w:fldChar w:fldCharType="separate"/>
      </w:r>
      <w:r>
        <w:t>34</w:t>
      </w:r>
      <w:r>
        <w:fldChar w:fldCharType="end"/>
      </w:r>
      <w:r>
        <w:fldChar w:fldCharType="end"/>
      </w:r>
    </w:p>
    <w:p w14:paraId="788F2315">
      <w:pPr>
        <w:pStyle w:val="91"/>
        <w:tabs>
          <w:tab w:val="left" w:pos="3544"/>
        </w:tabs>
        <w:rPr>
          <w:rFonts w:asciiTheme="minorHAnsi" w:hAnsiTheme="minorHAnsi" w:eastAsiaTheme="minorEastAsia" w:cstheme="minorBidi"/>
          <w:caps w:val="0"/>
          <w:szCs w:val="22"/>
          <w:lang w:val="en-US" w:eastAsia="en-US"/>
        </w:rPr>
      </w:pPr>
      <w:r>
        <w:fldChar w:fldCharType="begin"/>
      </w:r>
      <w:r>
        <w:instrText xml:space="preserve"> HYPERLINK \l "_Toc444607940" </w:instrText>
      </w:r>
      <w:r>
        <w:fldChar w:fldCharType="separate"/>
      </w:r>
      <w:r>
        <w:rPr>
          <w:rStyle w:val="44"/>
          <w:rFonts w:ascii="Arial" w:hAnsi="Arial" w:cs="Arial"/>
          <w:smallCaps/>
        </w:rPr>
        <w:t>PJESA  IV E KONTRATËS:</w:t>
      </w:r>
      <w:r>
        <w:rPr>
          <w:rFonts w:asciiTheme="minorHAnsi" w:hAnsiTheme="minorHAnsi" w:eastAsiaTheme="minorEastAsia" w:cstheme="minorBidi"/>
          <w:caps w:val="0"/>
          <w:szCs w:val="22"/>
          <w:lang w:val="en-US" w:eastAsia="en-US"/>
        </w:rPr>
        <w:tab/>
      </w:r>
      <w:r>
        <w:rPr>
          <w:rStyle w:val="44"/>
          <w:rFonts w:ascii="Arial" w:hAnsi="Arial" w:cs="Arial"/>
          <w:smallCaps/>
        </w:rPr>
        <w:t>MODEL I SIGURISË SË EKZEKUTIMIT</w:t>
      </w:r>
      <w:r>
        <w:tab/>
      </w:r>
      <w:r>
        <w:fldChar w:fldCharType="begin"/>
      </w:r>
      <w:r>
        <w:instrText xml:space="preserve"> PAGEREF _Toc444607940 \h </w:instrText>
      </w:r>
      <w:r>
        <w:fldChar w:fldCharType="separate"/>
      </w:r>
      <w:r>
        <w:t>36</w:t>
      </w:r>
      <w:r>
        <w:fldChar w:fldCharType="end"/>
      </w:r>
      <w:r>
        <w:fldChar w:fldCharType="end"/>
      </w:r>
    </w:p>
    <w:p w14:paraId="2641E6A6">
      <w:pPr>
        <w:pStyle w:val="91"/>
        <w:tabs>
          <w:tab w:val="left" w:pos="3544"/>
        </w:tabs>
        <w:rPr>
          <w:rFonts w:asciiTheme="minorHAnsi" w:hAnsiTheme="minorHAnsi" w:eastAsiaTheme="minorEastAsia" w:cstheme="minorBidi"/>
          <w:caps w:val="0"/>
          <w:szCs w:val="22"/>
          <w:lang w:val="en-US" w:eastAsia="en-US"/>
        </w:rPr>
      </w:pPr>
      <w:r>
        <w:fldChar w:fldCharType="begin"/>
      </w:r>
      <w:r>
        <w:instrText xml:space="preserve"> HYPERLINK \l "_Toc444607941" </w:instrText>
      </w:r>
      <w:r>
        <w:fldChar w:fldCharType="separate"/>
      </w:r>
      <w:r>
        <w:rPr>
          <w:rStyle w:val="44"/>
          <w:rFonts w:ascii="Arial" w:hAnsi="Arial" w:cs="Arial"/>
        </w:rPr>
        <w:t>PJESA V E KONTRATËS:</w:t>
      </w:r>
      <w:r>
        <w:rPr>
          <w:rFonts w:asciiTheme="minorHAnsi" w:hAnsiTheme="minorHAnsi" w:eastAsiaTheme="minorEastAsia" w:cstheme="minorBidi"/>
          <w:caps w:val="0"/>
          <w:szCs w:val="22"/>
          <w:lang w:val="en-US" w:eastAsia="en-US"/>
        </w:rPr>
        <w:tab/>
      </w:r>
      <w:r>
        <w:rPr>
          <w:rStyle w:val="44"/>
          <w:rFonts w:ascii="Arial" w:hAnsi="Arial" w:cs="Arial"/>
        </w:rPr>
        <w:t>IDENTIFIKIMI FINANCIAR</w:t>
      </w:r>
      <w:r>
        <w:tab/>
      </w:r>
      <w:r>
        <w:fldChar w:fldCharType="begin"/>
      </w:r>
      <w:r>
        <w:instrText xml:space="preserve"> PAGEREF _Toc444607941 \h </w:instrText>
      </w:r>
      <w:r>
        <w:fldChar w:fldCharType="separate"/>
      </w:r>
      <w:r>
        <w:t>37</w:t>
      </w:r>
      <w:r>
        <w:fldChar w:fldCharType="end"/>
      </w:r>
      <w:r>
        <w:fldChar w:fldCharType="end"/>
      </w:r>
    </w:p>
    <w:p w14:paraId="493A3842">
      <w:pPr>
        <w:pStyle w:val="91"/>
        <w:rPr>
          <w:rFonts w:asciiTheme="minorHAnsi" w:hAnsiTheme="minorHAnsi" w:eastAsiaTheme="minorEastAsia" w:cstheme="minorBidi"/>
          <w:caps w:val="0"/>
          <w:szCs w:val="22"/>
          <w:lang w:val="en-US" w:eastAsia="en-US"/>
        </w:rPr>
      </w:pPr>
      <w:r>
        <w:fldChar w:fldCharType="begin"/>
      </w:r>
      <w:r>
        <w:instrText xml:space="preserve"> HYPERLINK \l "_Toc444607942" </w:instrText>
      </w:r>
      <w:r>
        <w:fldChar w:fldCharType="separate"/>
      </w:r>
      <w:r>
        <w:rPr>
          <w:rStyle w:val="44"/>
          <w:rFonts w:ascii="Arial" w:hAnsi="Arial" w:cs="Arial"/>
          <w:i/>
        </w:rPr>
        <w:t>PJESA  C:           FORMULAR PËR DORËZIMIN E TENDERIT</w:t>
      </w:r>
      <w:r>
        <w:tab/>
      </w:r>
      <w:r>
        <w:fldChar w:fldCharType="begin"/>
      </w:r>
      <w:r>
        <w:instrText xml:space="preserve"> PAGEREF _Toc444607942 \h </w:instrText>
      </w:r>
      <w:r>
        <w:fldChar w:fldCharType="separate"/>
      </w:r>
      <w:r>
        <w:t>38</w:t>
      </w:r>
      <w:r>
        <w:fldChar w:fldCharType="end"/>
      </w:r>
      <w:r>
        <w:fldChar w:fldCharType="end"/>
      </w:r>
    </w:p>
    <w:p w14:paraId="598D2087">
      <w:pPr>
        <w:pStyle w:val="91"/>
        <w:rPr>
          <w:rFonts w:asciiTheme="minorHAnsi" w:hAnsiTheme="minorHAnsi" w:eastAsiaTheme="minorEastAsia" w:cstheme="minorBidi"/>
          <w:caps w:val="0"/>
          <w:szCs w:val="22"/>
          <w:lang w:val="en-US" w:eastAsia="en-US"/>
        </w:rPr>
      </w:pPr>
      <w:r>
        <w:fldChar w:fldCharType="begin"/>
      </w:r>
      <w:r>
        <w:instrText xml:space="preserve"> HYPERLINK \l "_Toc444607943" </w:instrText>
      </w:r>
      <w:r>
        <w:fldChar w:fldCharType="separate"/>
      </w:r>
      <w:r>
        <w:rPr>
          <w:rStyle w:val="44"/>
          <w:rFonts w:ascii="Arial" w:hAnsi="Arial" w:cs="Arial"/>
        </w:rPr>
        <w:t>Pjesa I.  Formulari i Tenderit</w:t>
      </w:r>
      <w:r>
        <w:tab/>
      </w:r>
      <w:r>
        <w:fldChar w:fldCharType="begin"/>
      </w:r>
      <w:r>
        <w:instrText xml:space="preserve"> PAGEREF _Toc444607943 \h </w:instrText>
      </w:r>
      <w:r>
        <w:fldChar w:fldCharType="separate"/>
      </w:r>
      <w:r>
        <w:t>38</w:t>
      </w:r>
      <w:r>
        <w:fldChar w:fldCharType="end"/>
      </w:r>
      <w:r>
        <w:fldChar w:fldCharType="end"/>
      </w:r>
    </w:p>
    <w:p w14:paraId="1625D21B">
      <w:pPr>
        <w:pStyle w:val="91"/>
        <w:rPr>
          <w:rFonts w:asciiTheme="minorHAnsi" w:hAnsiTheme="minorHAnsi" w:eastAsiaTheme="minorEastAsia" w:cstheme="minorBidi"/>
          <w:caps w:val="0"/>
          <w:szCs w:val="22"/>
          <w:lang w:val="en-US" w:eastAsia="en-US"/>
        </w:rPr>
      </w:pPr>
      <w:r>
        <w:fldChar w:fldCharType="begin"/>
      </w:r>
      <w:r>
        <w:instrText xml:space="preserve"> HYPERLINK \l "_Toc444607944" </w:instrText>
      </w:r>
      <w:r>
        <w:fldChar w:fldCharType="separate"/>
      </w:r>
      <w:r>
        <w:rPr>
          <w:rStyle w:val="44"/>
          <w:rFonts w:ascii="Arial" w:hAnsi="Arial" w:cs="Arial"/>
        </w:rPr>
        <w:t>Pjesa II.  PËrshkrimi i Çmimeve</w:t>
      </w:r>
      <w:r>
        <w:tab/>
      </w:r>
      <w:r>
        <w:fldChar w:fldCharType="begin"/>
      </w:r>
      <w:r>
        <w:instrText xml:space="preserve"> PAGEREF _Toc444607944 \h </w:instrText>
      </w:r>
      <w:r>
        <w:fldChar w:fldCharType="separate"/>
      </w:r>
      <w:r>
        <w:t>40</w:t>
      </w:r>
      <w:r>
        <w:fldChar w:fldCharType="end"/>
      </w:r>
      <w:r>
        <w:fldChar w:fldCharType="end"/>
      </w:r>
    </w:p>
    <w:p w14:paraId="43FA2156">
      <w:pPr>
        <w:pStyle w:val="102"/>
        <w:jc w:val="center"/>
        <w:rPr>
          <w:rFonts w:ascii="Arial" w:hAnsi="Arial" w:cs="Arial"/>
          <w:sz w:val="16"/>
          <w:szCs w:val="16"/>
        </w:rPr>
      </w:pPr>
      <w:r>
        <w:rPr>
          <w:rFonts w:ascii="Arial" w:hAnsi="Arial" w:cs="Arial"/>
          <w:sz w:val="16"/>
          <w:szCs w:val="16"/>
        </w:rPr>
        <w:fldChar w:fldCharType="end"/>
      </w:r>
    </w:p>
    <w:p w14:paraId="6DDDBDAD">
      <w:pPr>
        <w:pStyle w:val="102"/>
        <w:jc w:val="center"/>
        <w:rPr>
          <w:caps/>
          <w:sz w:val="16"/>
          <w:szCs w:val="16"/>
        </w:rPr>
      </w:pPr>
    </w:p>
    <w:p w14:paraId="6EC28317">
      <w:pPr>
        <w:spacing w:after="0"/>
      </w:pPr>
    </w:p>
    <w:p w14:paraId="372C0344">
      <w:pPr>
        <w:tabs>
          <w:tab w:val="left" w:pos="8730"/>
        </w:tabs>
        <w:spacing w:after="0"/>
        <w:rPr>
          <w:rFonts w:ascii="Arial" w:hAnsi="Arial" w:cs="Arial"/>
          <w:sz w:val="22"/>
          <w:szCs w:val="22"/>
        </w:rPr>
      </w:pPr>
    </w:p>
    <w:p w14:paraId="2E860F90">
      <w:pPr>
        <w:tabs>
          <w:tab w:val="left" w:pos="8730"/>
        </w:tabs>
        <w:spacing w:after="0" w:line="480" w:lineRule="auto"/>
        <w:rPr>
          <w:rFonts w:ascii="Arial" w:hAnsi="Arial" w:cs="Arial"/>
          <w:sz w:val="22"/>
          <w:szCs w:val="22"/>
        </w:rPr>
      </w:pPr>
    </w:p>
    <w:p w14:paraId="680FC234">
      <w:pPr>
        <w:tabs>
          <w:tab w:val="left" w:pos="8730"/>
        </w:tabs>
        <w:spacing w:line="14" w:lineRule="auto"/>
        <w:rPr>
          <w:rFonts w:ascii="Arial" w:hAnsi="Arial" w:cs="Arial"/>
          <w:sz w:val="22"/>
          <w:szCs w:val="22"/>
        </w:rPr>
      </w:pPr>
    </w:p>
    <w:p w14:paraId="3F9A3C40">
      <w:pPr>
        <w:tabs>
          <w:tab w:val="left" w:pos="8730"/>
        </w:tabs>
        <w:spacing w:line="600" w:lineRule="auto"/>
        <w:rPr>
          <w:rFonts w:ascii="Arial" w:hAnsi="Arial" w:cs="Arial"/>
          <w:sz w:val="22"/>
          <w:szCs w:val="22"/>
        </w:rPr>
      </w:pPr>
    </w:p>
    <w:p w14:paraId="1B064AA7">
      <w:pPr>
        <w:tabs>
          <w:tab w:val="left" w:pos="8730"/>
        </w:tabs>
        <w:rPr>
          <w:rFonts w:ascii="Arial" w:hAnsi="Arial" w:cs="Arial"/>
          <w:caps/>
          <w:sz w:val="22"/>
          <w:szCs w:val="22"/>
        </w:rPr>
      </w:pPr>
      <w:r>
        <w:rPr>
          <w:rFonts w:ascii="Arial" w:hAnsi="Arial" w:cs="Arial"/>
          <w:caps/>
          <w:sz w:val="22"/>
          <w:szCs w:val="22"/>
        </w:rPr>
        <w:t xml:space="preserve"> </w:t>
      </w:r>
    </w:p>
    <w:p w14:paraId="5B6AB59E">
      <w:pPr>
        <w:rPr>
          <w:rFonts w:ascii="Arial" w:hAnsi="Arial" w:cs="Arial"/>
          <w:b/>
          <w:sz w:val="20"/>
          <w:u w:val="single"/>
        </w:rPr>
      </w:pPr>
    </w:p>
    <w:p w14:paraId="27C65D25">
      <w:pPr>
        <w:pStyle w:val="2"/>
        <w:rPr>
          <w:rStyle w:val="34"/>
          <w:rFonts w:ascii="Arial" w:hAnsi="Arial" w:eastAsia="MS Mincho" w:cs="Arial"/>
        </w:rPr>
      </w:pPr>
      <w:bookmarkStart w:id="2" w:name="_Toc286833818"/>
      <w:bookmarkStart w:id="3" w:name="_Toc444607920"/>
      <w:r>
        <w:rPr>
          <w:rStyle w:val="34"/>
          <w:rFonts w:ascii="Arial" w:hAnsi="Arial" w:eastAsia="MS Mincho" w:cs="Arial"/>
          <w:u w:val="single"/>
        </w:rPr>
        <w:t>PJESA   A:</w:t>
      </w:r>
      <w:r>
        <w:rPr>
          <w:rStyle w:val="34"/>
          <w:rFonts w:ascii="Arial" w:hAnsi="Arial" w:eastAsia="MS Mincho" w:cs="Arial"/>
        </w:rPr>
        <w:t xml:space="preserve">             PROCEDURAT E TENDERIMIT</w:t>
      </w:r>
      <w:bookmarkEnd w:id="2"/>
      <w:bookmarkEnd w:id="3"/>
      <w:r>
        <w:rPr>
          <w:rStyle w:val="34"/>
          <w:rFonts w:ascii="Arial" w:hAnsi="Arial" w:eastAsia="MS Mincho" w:cs="Arial"/>
        </w:rPr>
        <w:t xml:space="preserve"> </w:t>
      </w:r>
    </w:p>
    <w:p w14:paraId="7FF019BF">
      <w:pPr>
        <w:pStyle w:val="2"/>
        <w:rPr>
          <w:rFonts w:ascii="Arial" w:hAnsi="Arial" w:cs="Arial"/>
          <w:sz w:val="24"/>
          <w:szCs w:val="24"/>
          <w:lang w:val="sq-AL"/>
        </w:rPr>
      </w:pPr>
      <w:bookmarkStart w:id="4" w:name="_Toc286833819"/>
      <w:bookmarkStart w:id="5" w:name="_Toc444607921"/>
      <w:r>
        <w:rPr>
          <w:rFonts w:ascii="Arial" w:hAnsi="Arial" w:cs="Arial"/>
          <w:sz w:val="24"/>
          <w:szCs w:val="24"/>
          <w:lang w:val="sq-AL"/>
        </w:rPr>
        <w:t>Seksioni I. INFORMACIONE PËR TENDERUESIT</w:t>
      </w:r>
      <w:bookmarkEnd w:id="4"/>
      <w:bookmarkEnd w:id="5"/>
      <w:r>
        <w:rPr>
          <w:rFonts w:ascii="Arial" w:hAnsi="Arial" w:cs="Arial"/>
          <w:sz w:val="24"/>
          <w:szCs w:val="24"/>
          <w:lang w:val="sq-AL"/>
        </w:rPr>
        <w:t xml:space="preserve"> </w:t>
      </w:r>
    </w:p>
    <w:tbl>
      <w:tblPr>
        <w:tblStyle w:val="12"/>
        <w:tblW w:w="8525" w:type="dxa"/>
        <w:jc w:val="center"/>
        <w:tblLayout w:type="fixed"/>
        <w:tblCellMar>
          <w:top w:w="0" w:type="dxa"/>
          <w:left w:w="108" w:type="dxa"/>
          <w:bottom w:w="0" w:type="dxa"/>
          <w:right w:w="108" w:type="dxa"/>
        </w:tblCellMar>
      </w:tblPr>
      <w:tblGrid>
        <w:gridCol w:w="2120"/>
        <w:gridCol w:w="6405"/>
      </w:tblGrid>
      <w:tr w14:paraId="77B08B72">
        <w:tblPrEx>
          <w:tblCellMar>
            <w:top w:w="0" w:type="dxa"/>
            <w:left w:w="108" w:type="dxa"/>
            <w:bottom w:w="0" w:type="dxa"/>
            <w:right w:w="108" w:type="dxa"/>
          </w:tblCellMar>
        </w:tblPrEx>
        <w:trPr>
          <w:jc w:val="center"/>
        </w:trPr>
        <w:tc>
          <w:tcPr>
            <w:tcW w:w="2120" w:type="dxa"/>
          </w:tcPr>
          <w:p w14:paraId="3918B544">
            <w:pPr>
              <w:pStyle w:val="111"/>
              <w:tabs>
                <w:tab w:val="clear" w:pos="360"/>
              </w:tabs>
              <w:spacing w:before="0" w:after="0"/>
              <w:ind w:left="0" w:firstLine="0"/>
              <w:rPr>
                <w:rFonts w:ascii="Arial" w:hAnsi="Arial" w:cs="Arial"/>
                <w:szCs w:val="24"/>
                <w:lang w:val="sq-AL"/>
              </w:rPr>
            </w:pPr>
          </w:p>
        </w:tc>
        <w:tc>
          <w:tcPr>
            <w:tcW w:w="6405" w:type="dxa"/>
            <w:tcBorders>
              <w:bottom w:val="nil"/>
            </w:tcBorders>
          </w:tcPr>
          <w:p w14:paraId="03EEB55E">
            <w:pPr>
              <w:pStyle w:val="2"/>
              <w:spacing w:before="0" w:after="0"/>
              <w:rPr>
                <w:rFonts w:ascii="Arial" w:hAnsi="Arial" w:cs="Arial"/>
                <w:sz w:val="24"/>
                <w:szCs w:val="24"/>
                <w:lang w:val="sq-AL"/>
              </w:rPr>
            </w:pPr>
            <w:bookmarkStart w:id="6" w:name="_Toc286833820"/>
            <w:bookmarkStart w:id="7" w:name="_Toc444607922"/>
            <w:r>
              <w:rPr>
                <w:rFonts w:ascii="Arial" w:hAnsi="Arial" w:cs="Arial"/>
                <w:sz w:val="24"/>
                <w:szCs w:val="24"/>
                <w:lang w:val="sq-AL"/>
              </w:rPr>
              <w:t>Të Përgjithshme</w:t>
            </w:r>
            <w:bookmarkEnd w:id="6"/>
            <w:bookmarkEnd w:id="7"/>
          </w:p>
        </w:tc>
      </w:tr>
      <w:tr w14:paraId="6B81CF81">
        <w:tblPrEx>
          <w:tblCellMar>
            <w:top w:w="0" w:type="dxa"/>
            <w:left w:w="108" w:type="dxa"/>
            <w:bottom w:w="0" w:type="dxa"/>
            <w:right w:w="108" w:type="dxa"/>
          </w:tblCellMar>
        </w:tblPrEx>
        <w:trPr>
          <w:jc w:val="center"/>
        </w:trPr>
        <w:tc>
          <w:tcPr>
            <w:tcW w:w="2120" w:type="dxa"/>
          </w:tcPr>
          <w:p w14:paraId="4AE28C60">
            <w:pPr>
              <w:pStyle w:val="112"/>
              <w:spacing w:before="0" w:after="200"/>
              <w:rPr>
                <w:rFonts w:ascii="Arial" w:hAnsi="Arial" w:cs="Arial"/>
                <w:sz w:val="20"/>
                <w:lang w:val="sq-AL"/>
              </w:rPr>
            </w:pPr>
            <w:bookmarkStart w:id="8" w:name="_Toc61936836"/>
            <w:r>
              <w:rPr>
                <w:rFonts w:ascii="Arial" w:hAnsi="Arial" w:cs="Arial"/>
                <w:sz w:val="20"/>
                <w:lang w:val="sq-AL"/>
              </w:rPr>
              <w:t xml:space="preserve">1. </w:t>
            </w:r>
            <w:bookmarkEnd w:id="8"/>
            <w:r>
              <w:rPr>
                <w:rFonts w:ascii="Arial" w:hAnsi="Arial" w:cs="Arial"/>
                <w:sz w:val="20"/>
                <w:lang w:val="sq-AL"/>
              </w:rPr>
              <w:t>Fushëveprimi i e tenderit</w:t>
            </w:r>
          </w:p>
        </w:tc>
        <w:tc>
          <w:tcPr>
            <w:tcW w:w="6405" w:type="dxa"/>
            <w:tcBorders>
              <w:bottom w:val="nil"/>
            </w:tcBorders>
          </w:tcPr>
          <w:p w14:paraId="7030115E">
            <w:pPr>
              <w:keepNext/>
              <w:keepLines/>
              <w:rPr>
                <w:rFonts w:ascii="Arial" w:hAnsi="Arial" w:cs="Arial"/>
                <w:sz w:val="20"/>
              </w:rPr>
            </w:pPr>
            <w:r>
              <w:rPr>
                <w:rFonts w:ascii="Arial" w:hAnsi="Arial" w:cs="Arial"/>
                <w:sz w:val="20"/>
              </w:rPr>
              <w:t xml:space="preserve">1.1 Autoriteti Kontraktues </w:t>
            </w:r>
            <w:r>
              <w:rPr>
                <w:rFonts w:ascii="Arial" w:hAnsi="Arial" w:cs="Arial"/>
                <w:b/>
                <w:sz w:val="20"/>
              </w:rPr>
              <w:t xml:space="preserve">i cekur në Fletën e të Dhënave të Tenderit (FDT), </w:t>
            </w:r>
            <w:r>
              <w:rPr>
                <w:rFonts w:ascii="Arial" w:hAnsi="Arial" w:cs="Arial"/>
                <w:sz w:val="20"/>
              </w:rPr>
              <w:t xml:space="preserve">lëshon këtë Dosje të Tenderit për shërbime  </w:t>
            </w:r>
            <w:r>
              <w:rPr>
                <w:rStyle w:val="126"/>
                <w:rFonts w:ascii="Arial" w:hAnsi="Arial" w:cs="Arial"/>
                <w:sz w:val="20"/>
              </w:rPr>
              <w:t>siç</w:t>
            </w:r>
            <w:r>
              <w:rPr>
                <w:rFonts w:ascii="Arial" w:hAnsi="Arial" w:cs="Arial"/>
                <w:sz w:val="20"/>
              </w:rPr>
              <w:t xml:space="preserve"> </w:t>
            </w:r>
            <w:r>
              <w:rPr>
                <w:rStyle w:val="126"/>
                <w:rFonts w:ascii="Arial" w:hAnsi="Arial" w:cs="Arial"/>
                <w:sz w:val="20"/>
              </w:rPr>
              <w:t>specifikohet</w:t>
            </w:r>
            <w:r>
              <w:rPr>
                <w:rFonts w:ascii="Arial" w:hAnsi="Arial" w:cs="Arial"/>
                <w:sz w:val="20"/>
              </w:rPr>
              <w:t xml:space="preserve"> </w:t>
            </w:r>
            <w:r>
              <w:rPr>
                <w:rStyle w:val="126"/>
                <w:rFonts w:ascii="Arial" w:hAnsi="Arial" w:cs="Arial"/>
                <w:sz w:val="20"/>
              </w:rPr>
              <w:t>në</w:t>
            </w:r>
            <w:r>
              <w:rPr>
                <w:rFonts w:ascii="Arial" w:hAnsi="Arial" w:cs="Arial"/>
                <w:sz w:val="20"/>
              </w:rPr>
              <w:t xml:space="preserve"> Specifikimet teknike, Aneksi 1, dhe në </w:t>
            </w:r>
            <w:r>
              <w:rPr>
                <w:rStyle w:val="126"/>
                <w:rFonts w:ascii="Arial" w:hAnsi="Arial" w:cs="Arial"/>
                <w:sz w:val="20"/>
              </w:rPr>
              <w:t>Pjesën</w:t>
            </w:r>
            <w:r>
              <w:rPr>
                <w:rFonts w:ascii="Arial" w:hAnsi="Arial" w:cs="Arial"/>
                <w:sz w:val="20"/>
              </w:rPr>
              <w:t xml:space="preserve"> </w:t>
            </w:r>
            <w:r>
              <w:rPr>
                <w:rStyle w:val="126"/>
                <w:rFonts w:ascii="Arial" w:hAnsi="Arial" w:cs="Arial"/>
                <w:sz w:val="20"/>
              </w:rPr>
              <w:t>C</w:t>
            </w:r>
            <w:r>
              <w:rPr>
                <w:rFonts w:ascii="Arial" w:hAnsi="Arial" w:cs="Arial"/>
                <w:sz w:val="20"/>
              </w:rPr>
              <w:t xml:space="preserve">, </w:t>
            </w:r>
            <w:r>
              <w:rPr>
                <w:rStyle w:val="126"/>
                <w:rFonts w:ascii="Arial" w:hAnsi="Arial" w:cs="Arial"/>
                <w:sz w:val="20"/>
              </w:rPr>
              <w:t>Përshkrimi i Çmimeve</w:t>
            </w:r>
            <w:r>
              <w:rPr>
                <w:rFonts w:ascii="Arial" w:hAnsi="Arial" w:cs="Arial"/>
                <w:sz w:val="20"/>
              </w:rPr>
              <w:t>.</w:t>
            </w:r>
          </w:p>
          <w:p w14:paraId="7F1742D3">
            <w:pPr>
              <w:rPr>
                <w:rFonts w:ascii="Arial" w:hAnsi="Arial" w:cs="Arial"/>
                <w:sz w:val="20"/>
              </w:rPr>
            </w:pPr>
            <w:r>
              <w:rPr>
                <w:rFonts w:ascii="Arial" w:hAnsi="Arial" w:cs="Arial"/>
                <w:sz w:val="20"/>
              </w:rPr>
              <w:t xml:space="preserve">1.2 Titulli i kontratës dhe numri identifikues i këtij aktiviteti të prokurimit janë të </w:t>
            </w:r>
            <w:r>
              <w:rPr>
                <w:rFonts w:ascii="Arial" w:hAnsi="Arial" w:cs="Arial"/>
                <w:b/>
                <w:sz w:val="20"/>
              </w:rPr>
              <w:t>shënuara në FDT</w:t>
            </w:r>
            <w:r>
              <w:rPr>
                <w:rFonts w:ascii="Arial" w:hAnsi="Arial" w:cs="Arial"/>
                <w:sz w:val="20"/>
              </w:rPr>
              <w:t>.</w:t>
            </w:r>
          </w:p>
          <w:p w14:paraId="3A6B8646">
            <w:pPr>
              <w:rPr>
                <w:rFonts w:ascii="Arial" w:hAnsi="Arial" w:cs="Arial"/>
                <w:sz w:val="20"/>
              </w:rPr>
            </w:pPr>
            <w:r>
              <w:rPr>
                <w:rFonts w:ascii="Arial" w:hAnsi="Arial" w:cs="Arial"/>
                <w:sz w:val="20"/>
              </w:rPr>
              <w:t xml:space="preserve">1.3 Informacioni mbi publikimin e Njoftimit të Kontratës është i </w:t>
            </w:r>
            <w:r>
              <w:rPr>
                <w:rFonts w:ascii="Arial" w:hAnsi="Arial" w:cs="Arial"/>
                <w:b/>
                <w:sz w:val="20"/>
              </w:rPr>
              <w:t>shënuar në FDT.</w:t>
            </w:r>
          </w:p>
          <w:p w14:paraId="4A0AFB61">
            <w:pPr>
              <w:rPr>
                <w:rFonts w:ascii="Arial" w:hAnsi="Arial" w:cs="Arial"/>
                <w:sz w:val="20"/>
              </w:rPr>
            </w:pPr>
            <w:r>
              <w:rPr>
                <w:rFonts w:ascii="Arial" w:hAnsi="Arial" w:cs="Arial"/>
                <w:sz w:val="20"/>
              </w:rPr>
              <w:t xml:space="preserve">1.4 Tenderët duhet të dorëzohen në adresën e autoritetit kontraktues të </w:t>
            </w:r>
            <w:r>
              <w:rPr>
                <w:rFonts w:ascii="Arial" w:hAnsi="Arial" w:cs="Arial"/>
                <w:b/>
                <w:sz w:val="20"/>
              </w:rPr>
              <w:t>shënuar në FDT.</w:t>
            </w:r>
          </w:p>
          <w:p w14:paraId="225A8AD0">
            <w:pPr>
              <w:rPr>
                <w:rFonts w:ascii="Arial" w:hAnsi="Arial" w:cs="Arial"/>
                <w:sz w:val="20"/>
              </w:rPr>
            </w:pPr>
            <w:r>
              <w:rPr>
                <w:rFonts w:ascii="Arial" w:hAnsi="Arial" w:cs="Arial"/>
                <w:sz w:val="20"/>
              </w:rPr>
              <w:t>1.5 Përgjatë kësaj Dosje të Tenderit:</w:t>
            </w:r>
          </w:p>
          <w:p w14:paraId="068C077C">
            <w:pPr>
              <w:spacing w:after="0"/>
              <w:contextualSpacing/>
              <w:rPr>
                <w:rFonts w:ascii="Arial" w:hAnsi="Arial" w:cs="Arial"/>
                <w:sz w:val="20"/>
              </w:rPr>
            </w:pPr>
            <w:r>
              <w:rPr>
                <w:rFonts w:ascii="Arial" w:hAnsi="Arial" w:cs="Arial"/>
                <w:sz w:val="20"/>
              </w:rPr>
              <w:t xml:space="preserve">a) shprehja “me shkrim” kuptohet komunikimi në formë të shkruar (p.sh. me e- mail, faks, teleks) me dëshmi të pranimit; </w:t>
            </w:r>
            <w:r>
              <w:rPr>
                <w:rFonts w:ascii="Arial" w:hAnsi="Arial" w:cs="Arial"/>
                <w:sz w:val="20"/>
              </w:rPr>
              <w:tab/>
            </w:r>
            <w:r>
              <w:rPr>
                <w:rFonts w:ascii="Arial" w:hAnsi="Arial" w:cs="Arial"/>
                <w:sz w:val="20"/>
              </w:rPr>
              <w:tab/>
            </w:r>
          </w:p>
          <w:p w14:paraId="4507E32F">
            <w:pPr>
              <w:spacing w:after="0"/>
              <w:contextualSpacing/>
              <w:rPr>
                <w:rFonts w:ascii="Arial" w:hAnsi="Arial" w:cs="Arial"/>
                <w:sz w:val="20"/>
              </w:rPr>
            </w:pPr>
            <w:r>
              <w:rPr>
                <w:rFonts w:ascii="Arial" w:hAnsi="Arial" w:cs="Arial"/>
                <w:sz w:val="20"/>
              </w:rPr>
              <w:t>b) nëse konteksti kërkon “njëjës” gjithashtu nënkupton “shumës” dhe  anasjelltas;</w:t>
            </w:r>
          </w:p>
          <w:p w14:paraId="5AA35252">
            <w:pPr>
              <w:spacing w:after="0"/>
              <w:contextualSpacing/>
              <w:rPr>
                <w:rFonts w:ascii="Arial" w:hAnsi="Arial" w:cs="Arial"/>
                <w:sz w:val="20"/>
              </w:rPr>
            </w:pPr>
            <w:r>
              <w:rPr>
                <w:rFonts w:ascii="Arial" w:hAnsi="Arial" w:cs="Arial"/>
                <w:sz w:val="20"/>
              </w:rPr>
              <w:t>c)“ditë” nënkupton ditë kalendarike;</w:t>
            </w:r>
          </w:p>
          <w:p w14:paraId="469A023C">
            <w:pPr>
              <w:spacing w:after="0"/>
              <w:contextualSpacing/>
              <w:rPr>
                <w:rFonts w:ascii="Arial" w:hAnsi="Arial" w:cs="Arial"/>
                <w:sz w:val="20"/>
              </w:rPr>
            </w:pPr>
            <w:r>
              <w:rPr>
                <w:rFonts w:ascii="Arial" w:hAnsi="Arial" w:cs="Arial"/>
                <w:sz w:val="20"/>
              </w:rPr>
              <w:t>d) ju jeni të referuar si “operator ekonomik” apo “tenderues” dhe</w:t>
            </w:r>
          </w:p>
          <w:p w14:paraId="1D548799">
            <w:pPr>
              <w:spacing w:after="0"/>
              <w:contextualSpacing/>
              <w:rPr>
                <w:rFonts w:ascii="Arial" w:hAnsi="Arial" w:cs="Arial"/>
                <w:sz w:val="20"/>
              </w:rPr>
            </w:pPr>
            <w:r>
              <w:rPr>
                <w:rFonts w:ascii="Arial" w:hAnsi="Arial" w:cs="Arial"/>
                <w:sz w:val="20"/>
              </w:rPr>
              <w:t xml:space="preserve">e) lëshuesi i kësaj dosje të tenderit referohet si ”autoritet kontraktues”. </w:t>
            </w:r>
          </w:p>
          <w:p w14:paraId="4EE2BD37">
            <w:pPr>
              <w:spacing w:after="0"/>
              <w:contextualSpacing/>
              <w:rPr>
                <w:rFonts w:ascii="Arial" w:hAnsi="Arial" w:cs="Arial"/>
                <w:sz w:val="20"/>
              </w:rPr>
            </w:pPr>
          </w:p>
        </w:tc>
      </w:tr>
      <w:tr w14:paraId="370D650D">
        <w:tblPrEx>
          <w:tblCellMar>
            <w:top w:w="0" w:type="dxa"/>
            <w:left w:w="108" w:type="dxa"/>
            <w:bottom w:w="0" w:type="dxa"/>
            <w:right w:w="108" w:type="dxa"/>
          </w:tblCellMar>
        </w:tblPrEx>
        <w:trPr>
          <w:trHeight w:val="2653" w:hRule="atLeast"/>
          <w:jc w:val="center"/>
        </w:trPr>
        <w:tc>
          <w:tcPr>
            <w:tcW w:w="2120" w:type="dxa"/>
          </w:tcPr>
          <w:p w14:paraId="6E02709C">
            <w:pPr>
              <w:pStyle w:val="112"/>
              <w:spacing w:before="0" w:after="200"/>
              <w:ind w:left="0" w:firstLine="0"/>
              <w:rPr>
                <w:rFonts w:ascii="Arial" w:hAnsi="Arial" w:cs="Arial"/>
                <w:sz w:val="20"/>
                <w:lang w:val="sq-AL"/>
              </w:rPr>
            </w:pPr>
            <w:r>
              <w:rPr>
                <w:rFonts w:ascii="Arial" w:hAnsi="Arial" w:cs="Arial"/>
                <w:sz w:val="20"/>
                <w:lang w:val="sq-AL"/>
              </w:rPr>
              <w:t>2. Qëllimi i Kontratës</w:t>
            </w:r>
          </w:p>
        </w:tc>
        <w:tc>
          <w:tcPr>
            <w:tcW w:w="6405" w:type="dxa"/>
            <w:tcBorders>
              <w:bottom w:val="nil"/>
            </w:tcBorders>
          </w:tcPr>
          <w:p w14:paraId="6EA70E79">
            <w:pPr>
              <w:contextualSpacing/>
              <w:rPr>
                <w:rFonts w:ascii="Arial" w:hAnsi="Arial" w:cs="Arial"/>
                <w:b/>
                <w:sz w:val="20"/>
              </w:rPr>
            </w:pPr>
            <w:r>
              <w:rPr>
                <w:rFonts w:ascii="Arial" w:hAnsi="Arial" w:cs="Arial"/>
                <w:sz w:val="20"/>
              </w:rPr>
              <w:t xml:space="preserve">2.1 Klasifikimi i Përgjithshëm i Fjalorit të Prokurimit dhe qëllimi i   kontratës </w:t>
            </w:r>
            <w:r>
              <w:rPr>
                <w:rFonts w:ascii="Arial" w:hAnsi="Arial" w:cs="Arial"/>
                <w:b/>
                <w:sz w:val="20"/>
              </w:rPr>
              <w:t>janë të shënuara në FDT.</w:t>
            </w:r>
          </w:p>
          <w:p w14:paraId="19E33743">
            <w:pPr>
              <w:contextualSpacing/>
              <w:rPr>
                <w:rFonts w:ascii="Arial" w:hAnsi="Arial" w:cs="Arial"/>
                <w:b/>
                <w:sz w:val="20"/>
              </w:rPr>
            </w:pPr>
            <w:r>
              <w:rPr>
                <w:rFonts w:ascii="Arial" w:hAnsi="Arial" w:cs="Arial"/>
                <w:b/>
                <w:sz w:val="20"/>
              </w:rPr>
              <w:tab/>
            </w:r>
          </w:p>
          <w:p w14:paraId="3CCBD032">
            <w:pPr>
              <w:rPr>
                <w:rFonts w:ascii="Arial" w:hAnsi="Arial" w:cs="Arial"/>
                <w:sz w:val="20"/>
              </w:rPr>
            </w:pPr>
            <w:r>
              <w:rPr>
                <w:rFonts w:ascii="Arial" w:hAnsi="Arial" w:cs="Arial"/>
                <w:sz w:val="20"/>
              </w:rPr>
              <w:t xml:space="preserve">2.2 </w:t>
            </w:r>
            <w:r>
              <w:rPr>
                <w:rFonts w:ascii="Arial" w:hAnsi="Arial" w:cs="Arial"/>
                <w:i/>
                <w:sz w:val="20"/>
              </w:rPr>
              <w:t>Nëse kontrata është e ndare në pjesë (llote),</w:t>
            </w:r>
            <w:r>
              <w:rPr>
                <w:rFonts w:ascii="Arial" w:hAnsi="Arial" w:cs="Arial"/>
                <w:sz w:val="20"/>
              </w:rPr>
              <w:t xml:space="preserve"> secila pjesë mund të shpijë në dhënien e një kontrate të veçantë. Sasitë e dhëna për pjesët e ndryshme do të jenë të pandashme. Tenderuesi duhet të ofrojë tërësinë e sasisë ose të sasive të shënuara për secilën pjesë. Nëse tenderuesit i janë dhënë kontratat për më shumë se një pjesë, një kontratë e vetme mund të bëhet, duke i mbuluar të gjitha ato pjesë.</w:t>
            </w:r>
          </w:p>
          <w:p w14:paraId="71FED33F">
            <w:pPr>
              <w:spacing w:after="0"/>
              <w:contextualSpacing/>
              <w:rPr>
                <w:rFonts w:ascii="Arial" w:hAnsi="Arial" w:cs="Arial"/>
                <w:b/>
                <w:sz w:val="20"/>
              </w:rPr>
            </w:pPr>
            <w:r>
              <w:rPr>
                <w:rFonts w:ascii="Arial" w:hAnsi="Arial" w:cs="Arial"/>
                <w:sz w:val="20"/>
              </w:rPr>
              <w:t xml:space="preserve">2.3 Numri i pjesëve (lotëve) </w:t>
            </w:r>
            <w:r>
              <w:rPr>
                <w:rFonts w:ascii="Arial" w:hAnsi="Arial" w:cs="Arial"/>
                <w:b/>
                <w:sz w:val="20"/>
              </w:rPr>
              <w:t>është i shënuar në FDT.</w:t>
            </w:r>
          </w:p>
          <w:p w14:paraId="57FB03DB">
            <w:pPr>
              <w:spacing w:after="0"/>
              <w:contextualSpacing/>
              <w:rPr>
                <w:rFonts w:ascii="Arial" w:hAnsi="Arial" w:cs="Arial"/>
                <w:b/>
                <w:sz w:val="20"/>
              </w:rPr>
            </w:pPr>
          </w:p>
          <w:p w14:paraId="53CFDF05">
            <w:pPr>
              <w:spacing w:after="0"/>
              <w:contextualSpacing/>
              <w:rPr>
                <w:rFonts w:ascii="Arial" w:hAnsi="Arial" w:cs="Arial"/>
                <w:b/>
                <w:sz w:val="20"/>
              </w:rPr>
            </w:pPr>
            <w:r>
              <w:rPr>
                <w:rFonts w:ascii="Arial" w:hAnsi="Arial" w:cs="Arial"/>
                <w:sz w:val="20"/>
              </w:rPr>
              <w:t>2.4 Vlera e parashikuar e kontratës</w:t>
            </w:r>
            <w:r>
              <w:rPr>
                <w:rFonts w:ascii="Arial" w:hAnsi="Arial" w:cs="Arial"/>
                <w:b/>
                <w:sz w:val="20"/>
              </w:rPr>
              <w:t xml:space="preserve"> është e shënuar në FDT.</w:t>
            </w:r>
          </w:p>
          <w:p w14:paraId="68ABA352">
            <w:pPr>
              <w:spacing w:after="0"/>
              <w:contextualSpacing/>
              <w:rPr>
                <w:rFonts w:ascii="Arial" w:hAnsi="Arial" w:cs="Arial"/>
                <w:b/>
                <w:sz w:val="20"/>
              </w:rPr>
            </w:pPr>
          </w:p>
          <w:p w14:paraId="1BA57F32">
            <w:pPr>
              <w:spacing w:after="0"/>
              <w:contextualSpacing/>
              <w:rPr>
                <w:rFonts w:ascii="Arial" w:hAnsi="Arial" w:cs="Arial"/>
                <w:b/>
                <w:sz w:val="20"/>
              </w:rPr>
            </w:pPr>
          </w:p>
        </w:tc>
      </w:tr>
      <w:tr w14:paraId="54D9EE16">
        <w:tblPrEx>
          <w:tblCellMar>
            <w:top w:w="0" w:type="dxa"/>
            <w:left w:w="108" w:type="dxa"/>
            <w:bottom w:w="0" w:type="dxa"/>
            <w:right w:w="108" w:type="dxa"/>
          </w:tblCellMar>
        </w:tblPrEx>
        <w:trPr>
          <w:jc w:val="center"/>
        </w:trPr>
        <w:tc>
          <w:tcPr>
            <w:tcW w:w="2120" w:type="dxa"/>
          </w:tcPr>
          <w:p w14:paraId="17EA6CEE">
            <w:pPr>
              <w:pStyle w:val="112"/>
              <w:spacing w:before="0" w:after="200"/>
              <w:ind w:left="0" w:firstLine="0"/>
              <w:rPr>
                <w:rFonts w:ascii="Arial" w:hAnsi="Arial" w:cs="Arial"/>
                <w:sz w:val="20"/>
                <w:lang w:val="sq-AL"/>
              </w:rPr>
            </w:pPr>
            <w:r>
              <w:rPr>
                <w:rFonts w:ascii="Arial" w:hAnsi="Arial" w:cs="Arial"/>
                <w:sz w:val="20"/>
                <w:lang w:val="sq-AL"/>
              </w:rPr>
              <w:t>3. Specifikimet teknike të detyrueshme</w:t>
            </w:r>
          </w:p>
        </w:tc>
        <w:tc>
          <w:tcPr>
            <w:tcW w:w="6405" w:type="dxa"/>
            <w:tcBorders>
              <w:bottom w:val="nil"/>
            </w:tcBorders>
          </w:tcPr>
          <w:p w14:paraId="1761ABB3">
            <w:pPr>
              <w:spacing w:after="0"/>
              <w:rPr>
                <w:rFonts w:ascii="Arial" w:hAnsi="Arial" w:cs="Arial"/>
                <w:sz w:val="20"/>
              </w:rPr>
            </w:pPr>
            <w:bookmarkStart w:id="9" w:name="_Toc104797503"/>
            <w:bookmarkStart w:id="10" w:name="_Toc104891420"/>
            <w:r>
              <w:rPr>
                <w:rFonts w:ascii="Arial" w:hAnsi="Arial" w:cs="Arial"/>
                <w:sz w:val="20"/>
              </w:rPr>
              <w:t>3.1 Shërbimet duhet të jenë në pajtim të plotë me specifikimet teknike  të parashtruara në këtë Dosje të Tenderit, shih Aneksin 1, dhe në përputhshmëri në të gjitha aspektet me vizatimet, sasitë, modelet</w:t>
            </w:r>
            <w:r>
              <w:rPr>
                <w:rFonts w:ascii="Arial" w:hAnsi="Arial" w:cs="Arial"/>
                <w:b/>
                <w:sz w:val="20"/>
              </w:rPr>
              <w:t xml:space="preserve"> </w:t>
            </w:r>
            <w:r>
              <w:rPr>
                <w:rFonts w:ascii="Arial" w:hAnsi="Arial" w:cs="Arial"/>
                <w:sz w:val="20"/>
              </w:rPr>
              <w:t>mostrat, matjet dhe</w:t>
            </w:r>
            <w:r>
              <w:rPr>
                <w:rFonts w:ascii="Arial" w:hAnsi="Arial" w:cs="Arial"/>
                <w:b/>
                <w:sz w:val="20"/>
              </w:rPr>
              <w:t xml:space="preserve"> </w:t>
            </w:r>
            <w:r>
              <w:rPr>
                <w:rFonts w:ascii="Arial" w:hAnsi="Arial" w:cs="Arial"/>
                <w:sz w:val="20"/>
              </w:rPr>
              <w:t xml:space="preserve">udhëzimet tjera. </w:t>
            </w:r>
          </w:p>
          <w:p w14:paraId="19049F36">
            <w:pPr>
              <w:spacing w:after="0"/>
              <w:rPr>
                <w:rFonts w:ascii="Arial" w:hAnsi="Arial" w:cs="Arial"/>
                <w:b/>
                <w:sz w:val="20"/>
              </w:rPr>
            </w:pPr>
          </w:p>
          <w:p w14:paraId="615CA266">
            <w:pPr>
              <w:tabs>
                <w:tab w:val="left" w:pos="2280"/>
              </w:tabs>
              <w:contextualSpacing/>
              <w:rPr>
                <w:rFonts w:ascii="Arial" w:hAnsi="Arial" w:cs="Arial"/>
                <w:sz w:val="20"/>
              </w:rPr>
            </w:pPr>
            <w:r>
              <w:rPr>
                <w:rFonts w:ascii="Arial" w:hAnsi="Arial" w:cs="Arial"/>
                <w:sz w:val="20"/>
              </w:rPr>
              <w:t>3.2 Cilido specifikim që nuk është në përputhshmëri me specifikimet teknike  do të diskualifikoj tenderin.</w:t>
            </w:r>
            <w:bookmarkEnd w:id="9"/>
            <w:bookmarkEnd w:id="10"/>
            <w:r>
              <w:rPr>
                <w:rFonts w:ascii="Arial" w:hAnsi="Arial" w:cs="Arial"/>
                <w:sz w:val="20"/>
              </w:rPr>
              <w:t xml:space="preserve"> </w:t>
            </w:r>
          </w:p>
          <w:p w14:paraId="39CEFD58">
            <w:pPr>
              <w:tabs>
                <w:tab w:val="left" w:pos="2280"/>
              </w:tabs>
              <w:contextualSpacing/>
              <w:rPr>
                <w:rFonts w:ascii="Arial" w:hAnsi="Arial" w:cs="Arial"/>
                <w:sz w:val="20"/>
              </w:rPr>
            </w:pPr>
          </w:p>
        </w:tc>
      </w:tr>
      <w:tr w14:paraId="1EBFD286">
        <w:tblPrEx>
          <w:tblCellMar>
            <w:top w:w="0" w:type="dxa"/>
            <w:left w:w="108" w:type="dxa"/>
            <w:bottom w:w="0" w:type="dxa"/>
            <w:right w:w="108" w:type="dxa"/>
          </w:tblCellMar>
        </w:tblPrEx>
        <w:trPr>
          <w:jc w:val="center"/>
        </w:trPr>
        <w:tc>
          <w:tcPr>
            <w:tcW w:w="2120" w:type="dxa"/>
          </w:tcPr>
          <w:p w14:paraId="478FA905">
            <w:pPr>
              <w:pStyle w:val="112"/>
              <w:spacing w:before="0" w:after="200"/>
              <w:rPr>
                <w:rFonts w:ascii="Arial" w:hAnsi="Arial" w:cs="Arial"/>
                <w:sz w:val="20"/>
                <w:lang w:val="sq-AL"/>
              </w:rPr>
            </w:pPr>
            <w:r>
              <w:rPr>
                <w:rFonts w:ascii="Arial" w:hAnsi="Arial" w:cs="Arial"/>
                <w:sz w:val="20"/>
                <w:lang w:val="sq-AL"/>
              </w:rPr>
              <w:t>4. Variantet</w:t>
            </w:r>
          </w:p>
        </w:tc>
        <w:tc>
          <w:tcPr>
            <w:tcW w:w="6405" w:type="dxa"/>
            <w:tcBorders>
              <w:bottom w:val="nil"/>
            </w:tcBorders>
          </w:tcPr>
          <w:p w14:paraId="6D53F549">
            <w:pPr>
              <w:tabs>
                <w:tab w:val="left" w:pos="709"/>
                <w:tab w:val="left" w:pos="1276"/>
                <w:tab w:val="left" w:pos="1843"/>
              </w:tabs>
              <w:spacing w:after="60"/>
              <w:rPr>
                <w:rFonts w:ascii="Arial" w:hAnsi="Arial" w:cs="Arial"/>
                <w:sz w:val="20"/>
              </w:rPr>
            </w:pPr>
            <w:r>
              <w:rPr>
                <w:rFonts w:ascii="Arial" w:hAnsi="Arial" w:cs="Arial"/>
                <w:sz w:val="20"/>
              </w:rPr>
              <w:t xml:space="preserve">4.1 </w:t>
            </w:r>
            <w:r>
              <w:rPr>
                <w:rFonts w:ascii="Arial" w:hAnsi="Arial" w:cs="Arial"/>
                <w:b/>
                <w:sz w:val="20"/>
              </w:rPr>
              <w:t>Përveç</w:t>
            </w:r>
            <w:r>
              <w:rPr>
                <w:rFonts w:ascii="Arial" w:hAnsi="Arial" w:cs="Arial"/>
                <w:sz w:val="20"/>
              </w:rPr>
              <w:t xml:space="preserve"> </w:t>
            </w:r>
            <w:r>
              <w:rPr>
                <w:rFonts w:ascii="Arial" w:hAnsi="Arial" w:cs="Arial"/>
                <w:b/>
                <w:sz w:val="20"/>
              </w:rPr>
              <w:t>nëse është e shënuar ndryshe në FDT,</w:t>
            </w:r>
            <w:r>
              <w:rPr>
                <w:rFonts w:ascii="Arial" w:hAnsi="Arial" w:cs="Arial"/>
                <w:sz w:val="20"/>
              </w:rPr>
              <w:t xml:space="preserve"> tenderuesit nuk janë të autorizuar të dorëzojnë tender që propozon  ndonjë variant i cili është në pajtueshmëri me një variant të specifikimeve teknike.  </w:t>
            </w:r>
          </w:p>
          <w:p w14:paraId="48F5F4DE">
            <w:pPr>
              <w:tabs>
                <w:tab w:val="left" w:pos="709"/>
                <w:tab w:val="left" w:pos="1276"/>
                <w:tab w:val="left" w:pos="1843"/>
              </w:tabs>
              <w:spacing w:after="60"/>
              <w:rPr>
                <w:rFonts w:ascii="Arial" w:hAnsi="Arial" w:cs="Arial"/>
                <w:sz w:val="20"/>
              </w:rPr>
            </w:pPr>
          </w:p>
        </w:tc>
      </w:tr>
      <w:tr w14:paraId="1B28BCB5">
        <w:tblPrEx>
          <w:tblCellMar>
            <w:top w:w="0" w:type="dxa"/>
            <w:left w:w="108" w:type="dxa"/>
            <w:bottom w:w="0" w:type="dxa"/>
            <w:right w:w="108" w:type="dxa"/>
          </w:tblCellMar>
        </w:tblPrEx>
        <w:trPr>
          <w:jc w:val="center"/>
        </w:trPr>
        <w:tc>
          <w:tcPr>
            <w:tcW w:w="2120" w:type="dxa"/>
          </w:tcPr>
          <w:p w14:paraId="3FFC2B68">
            <w:pPr>
              <w:pStyle w:val="112"/>
              <w:spacing w:before="0" w:after="200"/>
              <w:ind w:left="0" w:firstLine="0"/>
              <w:rPr>
                <w:rFonts w:ascii="Arial" w:hAnsi="Arial" w:cs="Arial"/>
                <w:sz w:val="20"/>
                <w:lang w:val="sq-AL"/>
              </w:rPr>
            </w:pPr>
            <w:r>
              <w:rPr>
                <w:rFonts w:ascii="Arial" w:hAnsi="Arial" w:cs="Arial"/>
                <w:sz w:val="20"/>
                <w:lang w:val="sq-AL"/>
              </w:rPr>
              <w:t>5. Kushtet dhe kërkesat e dërgesës</w:t>
            </w:r>
            <w:r>
              <w:rPr>
                <w:rFonts w:ascii="Arial" w:hAnsi="Arial" w:cs="Arial"/>
                <w:caps/>
                <w:sz w:val="20"/>
                <w:lang w:val="sq-AL"/>
              </w:rPr>
              <w:t xml:space="preserve"> </w:t>
            </w:r>
          </w:p>
        </w:tc>
        <w:tc>
          <w:tcPr>
            <w:tcW w:w="6405" w:type="dxa"/>
            <w:tcBorders>
              <w:bottom w:val="nil"/>
            </w:tcBorders>
          </w:tcPr>
          <w:p w14:paraId="481A0E9F">
            <w:pPr>
              <w:tabs>
                <w:tab w:val="left" w:pos="2280"/>
              </w:tabs>
              <w:contextualSpacing/>
              <w:rPr>
                <w:rFonts w:ascii="Arial" w:hAnsi="Arial" w:cs="Arial"/>
                <w:sz w:val="20"/>
              </w:rPr>
            </w:pPr>
            <w:bookmarkStart w:id="11" w:name="_Toc110100944"/>
            <w:r>
              <w:rPr>
                <w:rFonts w:ascii="Arial" w:hAnsi="Arial" w:cs="Arial"/>
                <w:sz w:val="20"/>
              </w:rPr>
              <w:t>5.1 Vendi i performimit te shërbimeve</w:t>
            </w:r>
            <w:r>
              <w:rPr>
                <w:rFonts w:ascii="Arial" w:hAnsi="Arial" w:cs="Arial"/>
                <w:b/>
                <w:sz w:val="20"/>
              </w:rPr>
              <w:t xml:space="preserve"> është e shënuar në FDT.</w:t>
            </w:r>
            <w:r>
              <w:rPr>
                <w:rFonts w:ascii="Arial" w:hAnsi="Arial" w:cs="Arial"/>
                <w:sz w:val="20"/>
              </w:rPr>
              <w:t xml:space="preserve">  </w:t>
            </w:r>
          </w:p>
          <w:p w14:paraId="2AAFBB6F">
            <w:pPr>
              <w:tabs>
                <w:tab w:val="left" w:pos="2280"/>
              </w:tabs>
              <w:contextualSpacing/>
              <w:rPr>
                <w:rFonts w:ascii="Arial" w:hAnsi="Arial" w:cs="Arial"/>
                <w:b/>
                <w:sz w:val="20"/>
              </w:rPr>
            </w:pPr>
          </w:p>
          <w:p w14:paraId="32B66AB7">
            <w:pPr>
              <w:tabs>
                <w:tab w:val="left" w:pos="2280"/>
              </w:tabs>
              <w:contextualSpacing/>
              <w:rPr>
                <w:rFonts w:ascii="Arial" w:hAnsi="Arial" w:cs="Arial"/>
                <w:b/>
                <w:sz w:val="20"/>
              </w:rPr>
            </w:pPr>
            <w:bookmarkStart w:id="12" w:name="_Toc104891427"/>
            <w:bookmarkStart w:id="13" w:name="_Toc104710822"/>
            <w:bookmarkStart w:id="14" w:name="_Toc110850646"/>
            <w:bookmarkStart w:id="15" w:name="_Toc104797510"/>
            <w:bookmarkStart w:id="16" w:name="_Toc110849405"/>
            <w:bookmarkStart w:id="17" w:name="_Toc104891868"/>
            <w:bookmarkStart w:id="18" w:name="_Toc104892630"/>
            <w:r>
              <w:rPr>
                <w:rFonts w:ascii="Arial" w:hAnsi="Arial" w:cs="Arial"/>
                <w:sz w:val="20"/>
              </w:rPr>
              <w:t>5.2 Afatet kohore për fillimin dhe/ose përfundimin e kontratës</w:t>
            </w:r>
            <w:bookmarkEnd w:id="12"/>
            <w:bookmarkEnd w:id="13"/>
            <w:bookmarkEnd w:id="14"/>
            <w:bookmarkEnd w:id="15"/>
            <w:bookmarkEnd w:id="16"/>
            <w:bookmarkEnd w:id="17"/>
            <w:bookmarkEnd w:id="18"/>
            <w:r>
              <w:rPr>
                <w:rFonts w:ascii="Arial" w:hAnsi="Arial" w:cs="Arial"/>
                <w:sz w:val="20"/>
              </w:rPr>
              <w:t xml:space="preserve"> </w:t>
            </w:r>
            <w:r>
              <w:rPr>
                <w:rFonts w:ascii="Arial" w:hAnsi="Arial" w:cs="Arial"/>
                <w:b/>
                <w:sz w:val="20"/>
              </w:rPr>
              <w:t xml:space="preserve"> siç është shënuar në FDT</w:t>
            </w:r>
            <w:bookmarkEnd w:id="11"/>
            <w:r>
              <w:rPr>
                <w:rFonts w:ascii="Arial" w:hAnsi="Arial" w:cs="Arial"/>
                <w:b/>
                <w:sz w:val="20"/>
              </w:rPr>
              <w:t>.</w:t>
            </w:r>
          </w:p>
        </w:tc>
      </w:tr>
      <w:tr w14:paraId="2EDAA5C6">
        <w:tblPrEx>
          <w:tblCellMar>
            <w:top w:w="0" w:type="dxa"/>
            <w:left w:w="108" w:type="dxa"/>
            <w:bottom w:w="0" w:type="dxa"/>
            <w:right w:w="108" w:type="dxa"/>
          </w:tblCellMar>
        </w:tblPrEx>
        <w:trPr>
          <w:jc w:val="center"/>
        </w:trPr>
        <w:tc>
          <w:tcPr>
            <w:tcW w:w="2120" w:type="dxa"/>
          </w:tcPr>
          <w:p w14:paraId="04DC3783">
            <w:pPr>
              <w:pStyle w:val="112"/>
              <w:spacing w:before="0" w:after="200"/>
              <w:ind w:left="0" w:firstLine="0"/>
              <w:rPr>
                <w:rFonts w:ascii="Arial" w:hAnsi="Arial" w:cs="Arial"/>
                <w:sz w:val="20"/>
                <w:lang w:val="sq-AL"/>
              </w:rPr>
            </w:pPr>
          </w:p>
        </w:tc>
        <w:tc>
          <w:tcPr>
            <w:tcW w:w="6405" w:type="dxa"/>
            <w:tcBorders>
              <w:bottom w:val="nil"/>
            </w:tcBorders>
          </w:tcPr>
          <w:p w14:paraId="0F4A4235">
            <w:pPr>
              <w:pStyle w:val="2"/>
              <w:spacing w:before="120" w:after="120"/>
              <w:rPr>
                <w:rStyle w:val="44"/>
                <w:rFonts w:ascii="Arial" w:hAnsi="Arial" w:cs="Arial"/>
                <w:sz w:val="24"/>
                <w:szCs w:val="24"/>
                <w:lang w:val="sq-AL"/>
              </w:rPr>
            </w:pPr>
            <w:bookmarkStart w:id="19" w:name="_Toc444607923"/>
            <w:bookmarkStart w:id="20" w:name="_Toc286833821"/>
            <w:r>
              <w:rPr>
                <w:rFonts w:ascii="Arial" w:hAnsi="Arial" w:cs="Arial"/>
                <w:sz w:val="24"/>
                <w:szCs w:val="24"/>
                <w:lang w:val="sq-AL"/>
              </w:rPr>
              <w:t>KËRKESAT që duhet të plotësohen nga OPERATORËT EKONOMIK</w:t>
            </w:r>
            <w:bookmarkEnd w:id="19"/>
            <w:bookmarkEnd w:id="20"/>
          </w:p>
        </w:tc>
      </w:tr>
      <w:tr w14:paraId="5A9AE050">
        <w:tblPrEx>
          <w:tblCellMar>
            <w:top w:w="0" w:type="dxa"/>
            <w:left w:w="108" w:type="dxa"/>
            <w:bottom w:w="0" w:type="dxa"/>
            <w:right w:w="108" w:type="dxa"/>
          </w:tblCellMar>
        </w:tblPrEx>
        <w:trPr>
          <w:jc w:val="center"/>
        </w:trPr>
        <w:tc>
          <w:tcPr>
            <w:tcW w:w="2120" w:type="dxa"/>
          </w:tcPr>
          <w:p w14:paraId="15167174">
            <w:pPr>
              <w:pStyle w:val="112"/>
              <w:spacing w:before="0" w:after="200"/>
              <w:ind w:left="0" w:firstLine="0"/>
              <w:rPr>
                <w:rFonts w:ascii="Arial" w:hAnsi="Arial" w:cs="Arial"/>
                <w:sz w:val="20"/>
                <w:lang w:val="sq-AL"/>
              </w:rPr>
            </w:pPr>
          </w:p>
        </w:tc>
        <w:tc>
          <w:tcPr>
            <w:tcW w:w="6405" w:type="dxa"/>
            <w:tcBorders>
              <w:bottom w:val="nil"/>
            </w:tcBorders>
          </w:tcPr>
          <w:p w14:paraId="190B1E6C">
            <w:pPr>
              <w:tabs>
                <w:tab w:val="left" w:pos="709"/>
                <w:tab w:val="left" w:pos="1276"/>
                <w:tab w:val="left" w:pos="1843"/>
              </w:tabs>
              <w:spacing w:after="0"/>
              <w:rPr>
                <w:rStyle w:val="44"/>
                <w:rFonts w:ascii="Arial" w:hAnsi="Arial" w:cs="Arial"/>
                <w:sz w:val="20"/>
              </w:rPr>
            </w:pPr>
            <w:r>
              <w:rPr>
                <w:rFonts w:ascii="Arial" w:hAnsi="Arial" w:cs="Arial"/>
                <w:sz w:val="20"/>
              </w:rPr>
              <w:t xml:space="preserve">Operatorët ekonomik duhet t`i plotësojnë të gjitha kërkesat në vijim. Çdo mos përmbushje e ndonjërës nga kërkesat do të eliminojë tenderin e tyre nga konkurrimi. </w:t>
            </w:r>
          </w:p>
        </w:tc>
      </w:tr>
      <w:tr w14:paraId="0CEA0708">
        <w:tblPrEx>
          <w:tblCellMar>
            <w:top w:w="0" w:type="dxa"/>
            <w:left w:w="108" w:type="dxa"/>
            <w:bottom w:w="0" w:type="dxa"/>
            <w:right w:w="108" w:type="dxa"/>
          </w:tblCellMar>
        </w:tblPrEx>
        <w:trPr>
          <w:jc w:val="center"/>
        </w:trPr>
        <w:tc>
          <w:tcPr>
            <w:tcW w:w="2120" w:type="dxa"/>
          </w:tcPr>
          <w:p w14:paraId="029C370E">
            <w:pPr>
              <w:pStyle w:val="112"/>
              <w:spacing w:before="0" w:after="200"/>
              <w:ind w:left="0" w:firstLine="0"/>
              <w:rPr>
                <w:rFonts w:ascii="Arial" w:hAnsi="Arial" w:cs="Arial"/>
                <w:sz w:val="20"/>
                <w:lang w:val="sq-AL"/>
              </w:rPr>
            </w:pPr>
          </w:p>
        </w:tc>
        <w:tc>
          <w:tcPr>
            <w:tcW w:w="6405" w:type="dxa"/>
            <w:tcBorders>
              <w:bottom w:val="nil"/>
            </w:tcBorders>
          </w:tcPr>
          <w:p w14:paraId="3DF8CD55">
            <w:pPr>
              <w:spacing w:before="120" w:after="120"/>
              <w:jc w:val="left"/>
              <w:rPr>
                <w:rStyle w:val="44"/>
                <w:rFonts w:ascii="Arial" w:hAnsi="Arial" w:cs="Arial"/>
                <w:b/>
                <w:szCs w:val="24"/>
              </w:rPr>
            </w:pPr>
            <w:r>
              <w:rPr>
                <w:rFonts w:ascii="Arial" w:hAnsi="Arial" w:cs="Arial"/>
                <w:b/>
                <w:szCs w:val="24"/>
              </w:rPr>
              <w:t>Kërkesat e përshtatshmërisë</w:t>
            </w:r>
          </w:p>
        </w:tc>
      </w:tr>
      <w:tr w14:paraId="2CBBF2E7">
        <w:tblPrEx>
          <w:tblCellMar>
            <w:top w:w="0" w:type="dxa"/>
            <w:left w:w="108" w:type="dxa"/>
            <w:bottom w:w="0" w:type="dxa"/>
            <w:right w:w="108" w:type="dxa"/>
          </w:tblCellMar>
        </w:tblPrEx>
        <w:trPr>
          <w:trHeight w:val="1276" w:hRule="atLeast"/>
          <w:jc w:val="center"/>
        </w:trPr>
        <w:tc>
          <w:tcPr>
            <w:tcW w:w="2120" w:type="dxa"/>
            <w:tcBorders>
              <w:bottom w:val="nil"/>
            </w:tcBorders>
          </w:tcPr>
          <w:p w14:paraId="091C7D86">
            <w:pPr>
              <w:pStyle w:val="112"/>
              <w:spacing w:before="0" w:after="0"/>
              <w:ind w:left="0" w:firstLine="0"/>
              <w:rPr>
                <w:rFonts w:ascii="Arial" w:hAnsi="Arial" w:cs="Arial"/>
                <w:sz w:val="20"/>
                <w:lang w:val="sq-AL"/>
              </w:rPr>
            </w:pPr>
            <w:r>
              <w:rPr>
                <w:rStyle w:val="44"/>
                <w:rFonts w:ascii="Arial" w:hAnsi="Arial" w:cs="Arial"/>
                <w:sz w:val="20"/>
                <w:lang w:val="sq-AL"/>
              </w:rPr>
              <w:t xml:space="preserve">6. </w:t>
            </w:r>
            <w:r>
              <w:rPr>
                <w:rFonts w:ascii="Arial" w:hAnsi="Arial" w:cs="Arial"/>
                <w:sz w:val="20"/>
                <w:lang w:val="sq-AL"/>
              </w:rPr>
              <w:t xml:space="preserve">Përshtatshmëria e operatorëve ekonomik  </w:t>
            </w:r>
          </w:p>
        </w:tc>
        <w:tc>
          <w:tcPr>
            <w:tcW w:w="6405" w:type="dxa"/>
          </w:tcPr>
          <w:p w14:paraId="25083953">
            <w:pPr>
              <w:rPr>
                <w:rFonts w:ascii="Arial" w:hAnsi="Arial" w:cs="Arial"/>
                <w:b/>
                <w:sz w:val="20"/>
              </w:rPr>
            </w:pPr>
            <w:r>
              <w:rPr>
                <w:rFonts w:ascii="Arial" w:hAnsi="Arial" w:cs="Arial"/>
                <w:b/>
                <w:sz w:val="20"/>
              </w:rPr>
              <w:t>6.1 Operatori ekonomik nuk ka të drejtë që të marrë pjesë në një aktivitet të prokurimit ose të marrë pjesë në ekzekutimin e ndonjë kontrate publike, nëse operatori i tillë ekonomik, ndonjë punonjës, drejtues, menaxher ose drejtor i tij/saj:</w:t>
            </w:r>
          </w:p>
          <w:p w14:paraId="478BEF1B">
            <w:pPr>
              <w:numPr>
                <w:ilvl w:val="0"/>
                <w:numId w:val="11"/>
              </w:numPr>
              <w:tabs>
                <w:tab w:val="left" w:pos="360"/>
                <w:tab w:val="clear" w:pos="2565"/>
              </w:tabs>
              <w:spacing w:after="0"/>
              <w:ind w:left="0" w:firstLine="0"/>
              <w:rPr>
                <w:rFonts w:ascii="Arial" w:hAnsi="Arial" w:cs="Arial"/>
                <w:sz w:val="20"/>
              </w:rPr>
            </w:pPr>
            <w:r>
              <w:rPr>
                <w:rFonts w:ascii="Arial" w:hAnsi="Arial" w:cs="Arial"/>
                <w:sz w:val="20"/>
              </w:rPr>
              <w:t xml:space="preserve">ka qenë pjesëmarrës në përgatitjen e njoftimit të kontratës ose dosjes së tenderit, ose në përgatitjen e ndonjë pjese të tyre, që shfrytëzohet nga autoriteti përkatës kontraktues; </w:t>
            </w:r>
          </w:p>
          <w:p w14:paraId="5E60C35C">
            <w:pPr>
              <w:numPr>
                <w:ilvl w:val="0"/>
                <w:numId w:val="11"/>
              </w:numPr>
              <w:tabs>
                <w:tab w:val="left" w:pos="360"/>
                <w:tab w:val="clear" w:pos="2565"/>
              </w:tabs>
              <w:spacing w:after="0"/>
              <w:ind w:left="0" w:firstLine="0"/>
              <w:rPr>
                <w:rFonts w:ascii="Arial" w:hAnsi="Arial" w:cs="Arial"/>
                <w:sz w:val="20"/>
              </w:rPr>
            </w:pPr>
            <w:r>
              <w:rPr>
                <w:rFonts w:ascii="Arial" w:hAnsi="Arial" w:cs="Arial"/>
                <w:sz w:val="20"/>
              </w:rPr>
              <w:t>ka pranuar ndihmë për përgatitjen e tenderit ose kërkesës për pjesëmarrje nga një person ose ndërmarrje që ka marrë pjesë në përgatitjen e njoftimit të kontratës ose dosjes së tenderit ose të ndonjë pjese të këtyre të fundit; ose</w:t>
            </w:r>
          </w:p>
          <w:p w14:paraId="4133977C">
            <w:pPr>
              <w:numPr>
                <w:ilvl w:val="0"/>
                <w:numId w:val="11"/>
              </w:numPr>
              <w:tabs>
                <w:tab w:val="left" w:pos="360"/>
                <w:tab w:val="clear" w:pos="2565"/>
              </w:tabs>
              <w:spacing w:after="0"/>
              <w:ind w:left="0" w:firstLine="0"/>
              <w:rPr>
                <w:rFonts w:ascii="Arial" w:hAnsi="Arial" w:cs="Arial"/>
                <w:sz w:val="20"/>
              </w:rPr>
            </w:pPr>
            <w:r>
              <w:rPr>
                <w:rFonts w:ascii="Arial" w:hAnsi="Arial" w:cs="Arial"/>
                <w:sz w:val="20"/>
              </w:rPr>
              <w:t xml:space="preserve"> duke qenë në cilindo rast në një konflikt interesi, siç përcaktohet në nenin 4, paragrafi 1.75 </w:t>
            </w:r>
          </w:p>
          <w:p w14:paraId="73473B92">
            <w:pPr>
              <w:autoSpaceDE w:val="0"/>
              <w:autoSpaceDN w:val="0"/>
              <w:adjustRightInd w:val="0"/>
              <w:spacing w:after="0"/>
              <w:rPr>
                <w:rFonts w:ascii="Arial" w:hAnsi="Arial" w:cs="Arial"/>
                <w:sz w:val="20"/>
              </w:rPr>
            </w:pPr>
          </w:p>
          <w:p w14:paraId="0EC553D7">
            <w:pPr>
              <w:rPr>
                <w:rFonts w:ascii="Arial" w:hAnsi="Arial" w:cs="Arial"/>
                <w:b/>
                <w:sz w:val="20"/>
              </w:rPr>
            </w:pPr>
            <w:r>
              <w:rPr>
                <w:rFonts w:ascii="Arial" w:hAnsi="Arial" w:cs="Arial"/>
                <w:b/>
                <w:sz w:val="20"/>
              </w:rPr>
              <w:t xml:space="preserve">6.2 Operatori ekonomik nuk ka të drejtë që të marrë pjesë në një aktivitet të prokurimit ose në ekzekutimin e ndonjë kontrate publike, nëse operatori i tillë ekonomik, ose ndonjë drejtues, menaxher ose drejtor i saj </w:t>
            </w:r>
            <w:r>
              <w:rPr>
                <w:rFonts w:ascii="Arial" w:hAnsi="Arial" w:cs="Arial"/>
                <w:b/>
                <w:sz w:val="20"/>
                <w:u w:val="single"/>
              </w:rPr>
              <w:t>gjatë dhjetë viteve të fundit</w:t>
            </w:r>
            <w:r>
              <w:rPr>
                <w:rFonts w:ascii="Arial" w:hAnsi="Arial" w:cs="Arial"/>
                <w:b/>
                <w:sz w:val="20"/>
              </w:rPr>
              <w:t xml:space="preserve">: </w:t>
            </w:r>
          </w:p>
          <w:p w14:paraId="432E2610">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a.  </w:t>
            </w:r>
            <w:r>
              <w:rPr>
                <w:rFonts w:ascii="Arial" w:hAnsi="Arial" w:cs="Arial" w:eastAsiaTheme="minorHAnsi"/>
                <w:b/>
                <w:sz w:val="20"/>
                <w:lang w:eastAsia="en-US"/>
              </w:rPr>
              <w:t>është shpallur fajtorë nga një gjykatë kompetente</w:t>
            </w:r>
            <w:r>
              <w:rPr>
                <w:rFonts w:ascii="Arial" w:hAnsi="Arial" w:cs="Arial" w:eastAsiaTheme="minorHAnsi"/>
                <w:sz w:val="20"/>
                <w:lang w:eastAsia="en-US"/>
              </w:rPr>
              <w:t xml:space="preserve"> për kryerjen e një vepre penale ose civile duke përfshirë praktikat e korrupsionit, larjen e parave, mitosjen, avantazhe ose aktivitetet e ngjashme me ato të përshkruara në nenin 130.1 të LPP-se sipas ligjeve dhe rregulloreve në fuqi në Kosovë ose në cilindo shtet, ose në çfarëdo marrëveshje ose konvente ndërkombëtare;</w:t>
            </w:r>
          </w:p>
          <w:p w14:paraId="5C770E2D">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b. </w:t>
            </w:r>
            <w:r>
              <w:rPr>
                <w:rFonts w:ascii="Arial" w:hAnsi="Arial" w:cs="Arial" w:eastAsiaTheme="minorHAnsi"/>
                <w:b/>
                <w:sz w:val="20"/>
                <w:lang w:eastAsia="en-US"/>
              </w:rPr>
              <w:t xml:space="preserve">është deklaruar i papërshtatshëm, </w:t>
            </w:r>
            <w:r>
              <w:rPr>
                <w:rFonts w:ascii="Arial" w:hAnsi="Arial" w:cs="Arial" w:eastAsiaTheme="minorHAnsi"/>
                <w:sz w:val="20"/>
                <w:lang w:eastAsia="en-US"/>
              </w:rPr>
              <w:t>kur autoriteti kontraktues zbulon se kjo është një shkelje e rende profesionale,</w:t>
            </w:r>
            <w:r>
              <w:rPr>
                <w:rFonts w:ascii="Arial" w:hAnsi="Arial" w:eastAsia="Calibri" w:cs="Arial"/>
                <w:sz w:val="20"/>
                <w:lang w:eastAsia="en-US"/>
              </w:rPr>
              <w:t xml:space="preserve"> e konstatuar nga një gjykatë kompetente</w:t>
            </w:r>
            <w:r>
              <w:rPr>
                <w:rFonts w:ascii="Arial" w:hAnsi="Arial" w:cs="Arial" w:eastAsiaTheme="minorHAnsi"/>
                <w:sz w:val="20"/>
                <w:lang w:eastAsia="en-US"/>
              </w:rPr>
              <w:t>;</w:t>
            </w:r>
          </w:p>
          <w:p w14:paraId="5E67B06F">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c. </w:t>
            </w:r>
            <w:r>
              <w:rPr>
                <w:rFonts w:ascii="Arial" w:hAnsi="Arial" w:cs="Arial" w:eastAsiaTheme="minorHAnsi"/>
                <w:b/>
                <w:sz w:val="20"/>
                <w:lang w:eastAsia="en-US"/>
              </w:rPr>
              <w:t>është shpallur fajtor nga një gjykatë kompetente</w:t>
            </w:r>
            <w:r>
              <w:rPr>
                <w:rFonts w:ascii="Arial" w:hAnsi="Arial" w:cs="Arial" w:eastAsiaTheme="minorHAnsi"/>
                <w:sz w:val="20"/>
                <w:lang w:eastAsia="en-US"/>
              </w:rPr>
              <w:t xml:space="preserve"> për kryerjen e një vepre penale serioze të pjesëmarrjes në aktivitetet e një organizate kriminale, që përkufizohet si asociacion i strukturuar dhe i krijuar gjatë një periudhe kohore dhe që vepron në mënyrë të organizuar me qëllim të përfitimit financiar përmes veprimeve që konsiderohen si kriminale ose të kundërligjshme në vendin ku ndodhin ato; ose</w:t>
            </w:r>
          </w:p>
          <w:p w14:paraId="4AE8753B">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d. </w:t>
            </w:r>
            <w:r>
              <w:rPr>
                <w:rFonts w:ascii="Arial" w:hAnsi="Arial" w:cs="Arial" w:eastAsiaTheme="minorHAnsi"/>
                <w:b/>
                <w:sz w:val="20"/>
                <w:lang w:eastAsia="en-US"/>
              </w:rPr>
              <w:t>është shpallur fajtor</w:t>
            </w:r>
            <w:r>
              <w:rPr>
                <w:rFonts w:ascii="Arial" w:hAnsi="Arial" w:cs="Arial" w:eastAsiaTheme="minorHAnsi"/>
                <w:sz w:val="20"/>
                <w:lang w:eastAsia="en-US"/>
              </w:rPr>
              <w:t xml:space="preserve"> për mashtrim apo një akt të ngjashëm me mashtrim nga një gjykatë kompetente;</w:t>
            </w:r>
          </w:p>
          <w:p w14:paraId="52E62948">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e. </w:t>
            </w:r>
            <w:r>
              <w:rPr>
                <w:rFonts w:ascii="Arial" w:hAnsi="Arial" w:cs="Arial" w:eastAsiaTheme="minorHAnsi"/>
                <w:b/>
                <w:sz w:val="20"/>
                <w:lang w:eastAsia="en-US"/>
              </w:rPr>
              <w:t>është konstatuar nga një gjykatë kompetente</w:t>
            </w:r>
            <w:r>
              <w:rPr>
                <w:rFonts w:ascii="Arial" w:hAnsi="Arial" w:cs="Arial" w:eastAsiaTheme="minorHAnsi"/>
                <w:sz w:val="20"/>
                <w:lang w:eastAsia="en-US"/>
              </w:rPr>
              <w:t>, agjenci administrative ose organizatë për zbatimin e standardeve të sjelljes profesionale, se është sjellë në mënyrë joprofesionale; ose</w:t>
            </w:r>
          </w:p>
          <w:p w14:paraId="62CA889E">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 xml:space="preserve">f. </w:t>
            </w:r>
            <w:r>
              <w:rPr>
                <w:rFonts w:ascii="Arial" w:hAnsi="Arial" w:cs="Arial" w:eastAsiaTheme="minorHAnsi"/>
                <w:b/>
                <w:sz w:val="20"/>
                <w:lang w:eastAsia="en-US"/>
              </w:rPr>
              <w:t>është konstatuar nga një gjykate kompetente</w:t>
            </w:r>
            <w:r>
              <w:rPr>
                <w:rFonts w:ascii="Arial" w:hAnsi="Arial" w:cs="Arial" w:eastAsiaTheme="minorHAnsi"/>
                <w:sz w:val="20"/>
                <w:lang w:eastAsia="en-US"/>
              </w:rPr>
              <w:t xml:space="preserve"> se ka bërë keqinterpretime para autoriteteve publike në Kosovë ose diku tjetër.</w:t>
            </w:r>
          </w:p>
          <w:p w14:paraId="0EE810F5">
            <w:pPr>
              <w:autoSpaceDE w:val="0"/>
              <w:autoSpaceDN w:val="0"/>
              <w:adjustRightInd w:val="0"/>
              <w:spacing w:after="0"/>
              <w:rPr>
                <w:rFonts w:ascii="Arial" w:hAnsi="Arial" w:cs="Arial"/>
                <w:b/>
                <w:sz w:val="20"/>
              </w:rPr>
            </w:pPr>
          </w:p>
          <w:p w14:paraId="77DF4EA2">
            <w:pPr>
              <w:autoSpaceDE w:val="0"/>
              <w:autoSpaceDN w:val="0"/>
              <w:adjustRightInd w:val="0"/>
              <w:spacing w:after="0"/>
              <w:rPr>
                <w:rFonts w:ascii="Arial" w:hAnsi="Arial" w:cs="Arial"/>
                <w:b/>
                <w:sz w:val="20"/>
              </w:rPr>
            </w:pPr>
            <w:r>
              <w:rPr>
                <w:rFonts w:ascii="Arial" w:hAnsi="Arial" w:cs="Arial"/>
                <w:b/>
                <w:sz w:val="20"/>
              </w:rPr>
              <w:t>6.3 Operatori ekonomik nuk ka të drejtë që të marrë pjesë në një aktivitet të prokurimit ose në ekzekutimin e ndonjë kontrate publike, nëse ai operator ekonomik:</w:t>
            </w:r>
          </w:p>
          <w:p w14:paraId="4CD88F91">
            <w:pPr>
              <w:autoSpaceDE w:val="0"/>
              <w:autoSpaceDN w:val="0"/>
              <w:adjustRightInd w:val="0"/>
              <w:spacing w:after="0"/>
              <w:rPr>
                <w:rFonts w:ascii="Arial" w:hAnsi="Arial" w:cs="Arial"/>
                <w:b/>
                <w:sz w:val="20"/>
              </w:rPr>
            </w:pPr>
          </w:p>
          <w:p w14:paraId="2B088B1D">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a. gjatë dy (2) viteve të kaluara është shpallur nga një gjykatë kompetente si i falimentuar ose insolvent, ose aktualisht është në procedurë: (i) të falimentimit, (ii) të pranimit të urdhrit për likuidim ose përmbyllje të aktiviteteve ose administrimit nga gjykata ose (iii) ndonjë procedurë tjetër të ngjashme sipas ligjit të Kosovës ose ndonjë juridiksioni tjetër:</w:t>
            </w:r>
          </w:p>
          <w:p w14:paraId="01CD9E6C">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b. me vendim të një gjykate kompetente është likuiduar ose është vënë në mbikëqyrje të administratorit;</w:t>
            </w:r>
          </w:p>
          <w:p w14:paraId="48434244">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c. aktualisht ka një marrëveshje ose aranzhim me kreditorët e tij që siguron kushte të zgjeruara ose të reduktuara të pagimit nëse mbi kushtet e tilla janë pajtuar paraprakisht kreditorët e tillë për shkak se operatori ekonomik më parë ka qenë i paaftë që të përmbushë obligimet e tij në afatin e duhur kohor;</w:t>
            </w:r>
          </w:p>
          <w:p w14:paraId="57520AEA">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d. është në një situatë të ngjashme me ato të përshkruara në nën-paragrafët a, b ose c  të këtij paragrafi, që rrjedhin nga një procedurë e ngjashme sipas ligjeve në vendin ku është themeluar ose në vendin ku zhvillon veprimtarinë e tij afariste;</w:t>
            </w:r>
          </w:p>
          <w:p w14:paraId="0179862F">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e. aktualisht i nënshtrohet një vendimi gjyqësor ose administrativ i cili suspendon pagesat nga ose për një operatori të tillë ekonomik dhe që rezultojnë në një humbje të tërësishme ose të pjesshme të të drejtave të operatorit ekonomik për të administruar ose disponuar me pasurinë e tij;</w:t>
            </w:r>
          </w:p>
          <w:p w14:paraId="2E1D5E04">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f. aktualisht është lëndë e një vendimi gjyqësor ose administrativ i cili suspendon ose redukton pagesat nga ose për operatorët e tillë ekonomik nëse procedurat e tilla gjithashtu mund të rezultojnë në vendimin për falimentimin ose likuidimin e operatorit ekonomik;</w:t>
            </w:r>
          </w:p>
          <w:p w14:paraId="37AC87FC">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g. gjatë tri (3) viteve të fundit është konstatuar nga një gjykatë kompetente se nuk e ka përmbushur një kontratë me ndonjë njësi publike, autoritet publik ose ndërmarrje në Kosovë ose diku tjetër;</w:t>
            </w:r>
          </w:p>
          <w:p w14:paraId="70E9AD4B">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h. aktualisht është me vonesë në pagimin e çfarëdo kontributeve për sigurim social apo tatim në Kosovë ose në vendin e themelimit të operatorit ekonomik, përveç ku një borxh i tille është vërtetuar te jete jo i rëndësishëm ne Kosove;</w:t>
            </w:r>
          </w:p>
          <w:p w14:paraId="4FA9F734">
            <w:pPr>
              <w:autoSpaceDE w:val="0"/>
              <w:autoSpaceDN w:val="0"/>
              <w:adjustRightInd w:val="0"/>
              <w:spacing w:after="0"/>
              <w:rPr>
                <w:rFonts w:ascii="Arial" w:hAnsi="Arial" w:cs="Arial" w:eastAsiaTheme="minorHAnsi"/>
                <w:sz w:val="20"/>
                <w:lang w:eastAsia="en-US"/>
              </w:rPr>
            </w:pPr>
            <w:r>
              <w:rPr>
                <w:rFonts w:ascii="Arial" w:hAnsi="Arial" w:cs="Arial" w:eastAsiaTheme="minorHAnsi"/>
                <w:sz w:val="20"/>
                <w:lang w:eastAsia="en-US"/>
              </w:rPr>
              <w:t>i. është më shumë se nëntëdhjetë (90) ditë me vonesë në pagimin e pagave të punonjësve ose në pagimin e obligimeve ndaj një operatori të shërbimeve publike në Kosovë;</w:t>
            </w:r>
          </w:p>
          <w:p w14:paraId="467D6187">
            <w:pPr>
              <w:autoSpaceDE w:val="0"/>
              <w:autoSpaceDN w:val="0"/>
              <w:adjustRightInd w:val="0"/>
              <w:spacing w:after="0"/>
              <w:rPr>
                <w:rFonts w:ascii="Arial" w:hAnsi="Arial" w:eastAsia="Calibri" w:cs="Arial"/>
                <w:sz w:val="20"/>
                <w:lang w:eastAsia="en-US"/>
              </w:rPr>
            </w:pPr>
            <w:r>
              <w:rPr>
                <w:rFonts w:ascii="Arial" w:hAnsi="Arial" w:eastAsia="Calibri" w:cs="Arial"/>
                <w:sz w:val="20"/>
                <w:lang w:eastAsia="en-US"/>
              </w:rPr>
              <w:t xml:space="preserve">j. ende nuk e ka zbatuar një vendim të lëshuar nga një gjykatë e Kosovës; </w:t>
            </w:r>
          </w:p>
          <w:p w14:paraId="53135780">
            <w:pPr>
              <w:autoSpaceDE w:val="0"/>
              <w:autoSpaceDN w:val="0"/>
              <w:adjustRightInd w:val="0"/>
              <w:spacing w:after="0"/>
              <w:rPr>
                <w:rFonts w:ascii="Arial" w:hAnsi="Arial" w:cs="Arial" w:eastAsiaTheme="minorHAnsi"/>
                <w:sz w:val="20"/>
                <w:lang w:eastAsia="en-US"/>
              </w:rPr>
            </w:pPr>
            <w:r>
              <w:rPr>
                <w:rFonts w:ascii="Arial" w:hAnsi="Arial" w:eastAsia="Calibri" w:cs="Arial"/>
                <w:sz w:val="20"/>
                <w:lang w:eastAsia="en-US"/>
              </w:rPr>
              <w:t>k. ka dhënë deklarata të rreme në lidhje me procedurën për dhënien e një kontrate publike, nëse këto kanë të bëjnë me mungesën e arsyeve për përjashtim, ose me përmbushjen e kritereve të përzgjedhjes;</w:t>
            </w:r>
          </w:p>
          <w:p w14:paraId="2810B313">
            <w:pPr>
              <w:autoSpaceDE w:val="0"/>
              <w:autoSpaceDN w:val="0"/>
              <w:adjustRightInd w:val="0"/>
              <w:spacing w:after="0"/>
              <w:rPr>
                <w:rFonts w:ascii="Arial" w:hAnsi="Arial" w:cs="Arial"/>
                <w:sz w:val="20"/>
              </w:rPr>
            </w:pPr>
            <w:r>
              <w:rPr>
                <w:rFonts w:ascii="Arial" w:hAnsi="Arial" w:cs="Arial"/>
                <w:sz w:val="20"/>
              </w:rPr>
              <w:t>l. nuk është shpallu fajtor me një vendim te plotfuqishëm te miratuar  ne përputhshmëri me Nenin 99.2 te LPP-se.</w:t>
            </w:r>
          </w:p>
          <w:p w14:paraId="23B2B71F">
            <w:pPr>
              <w:autoSpaceDE w:val="0"/>
              <w:autoSpaceDN w:val="0"/>
              <w:adjustRightInd w:val="0"/>
              <w:spacing w:after="0"/>
              <w:rPr>
                <w:rFonts w:ascii="Arial" w:hAnsi="Arial" w:cs="Arial" w:eastAsiaTheme="minorHAnsi"/>
                <w:sz w:val="20"/>
                <w:lang w:eastAsia="en-US"/>
              </w:rPr>
            </w:pPr>
          </w:p>
          <w:p w14:paraId="1A27E439">
            <w:pPr>
              <w:pBdr>
                <w:top w:val="single" w:color="auto" w:sz="4" w:space="1"/>
                <w:left w:val="single" w:color="auto" w:sz="4" w:space="4"/>
                <w:bottom w:val="single" w:color="auto" w:sz="4" w:space="1"/>
                <w:right w:val="single" w:color="auto" w:sz="4" w:space="4"/>
              </w:pBdr>
              <w:shd w:val="clear" w:color="auto" w:fill="FFFF00"/>
              <w:autoSpaceDE w:val="0"/>
              <w:autoSpaceDN w:val="0"/>
              <w:adjustRightInd w:val="0"/>
              <w:spacing w:after="0"/>
              <w:rPr>
                <w:rFonts w:ascii="Arial" w:hAnsi="Arial" w:cs="Arial"/>
                <w:b/>
                <w:i/>
                <w:sz w:val="20"/>
              </w:rPr>
            </w:pPr>
            <w:r>
              <w:rPr>
                <w:rFonts w:ascii="Arial" w:hAnsi="Arial" w:cs="Arial"/>
                <w:b/>
                <w:i/>
                <w:sz w:val="20"/>
              </w:rPr>
              <w:t>Periudhat kohore të përcaktuara në këtë nen, ndërlidhen me periudhën që menjëherë paraprinë datën e publikimit të njoftimit të kontratës.</w:t>
            </w:r>
          </w:p>
          <w:p w14:paraId="076B2EE2">
            <w:pPr>
              <w:spacing w:after="0"/>
              <w:rPr>
                <w:rFonts w:ascii="Arial" w:hAnsi="Arial" w:cs="Arial"/>
                <w:sz w:val="20"/>
              </w:rPr>
            </w:pPr>
          </w:p>
          <w:p w14:paraId="35F25537">
            <w:pPr>
              <w:spacing w:after="0"/>
              <w:rPr>
                <w:rFonts w:ascii="Arial" w:hAnsi="Arial" w:cs="Arial"/>
                <w:sz w:val="20"/>
              </w:rPr>
            </w:pPr>
            <w:r>
              <w:rPr>
                <w:rFonts w:ascii="Arial" w:hAnsi="Arial" w:cs="Arial"/>
                <w:sz w:val="20"/>
              </w:rPr>
              <w:t xml:space="preserve">6.4 Në mënyrë që të dëshmohet se operatori ekonomik ka të drejtë   pjesëmarrjeje në procedurën e prokurimit, operatori ekonomik duhet të dorëzojë dëshmitë e dokumentuara </w:t>
            </w:r>
            <w:r>
              <w:rPr>
                <w:rFonts w:ascii="Arial" w:hAnsi="Arial" w:cs="Arial"/>
                <w:b/>
                <w:sz w:val="20"/>
              </w:rPr>
              <w:t>të shënuara në FDT</w:t>
            </w:r>
            <w:r>
              <w:rPr>
                <w:rFonts w:ascii="Arial" w:hAnsi="Arial" w:cs="Arial"/>
                <w:sz w:val="20"/>
              </w:rPr>
              <w:t xml:space="preserve">. </w:t>
            </w:r>
          </w:p>
        </w:tc>
      </w:tr>
      <w:tr w14:paraId="78C667AE">
        <w:tblPrEx>
          <w:tblCellMar>
            <w:top w:w="0" w:type="dxa"/>
            <w:left w:w="108" w:type="dxa"/>
            <w:bottom w:w="0" w:type="dxa"/>
            <w:right w:w="108" w:type="dxa"/>
          </w:tblCellMar>
        </w:tblPrEx>
        <w:trPr>
          <w:jc w:val="center"/>
        </w:trPr>
        <w:tc>
          <w:tcPr>
            <w:tcW w:w="2120" w:type="dxa"/>
            <w:tcBorders>
              <w:bottom w:val="nil"/>
            </w:tcBorders>
          </w:tcPr>
          <w:p w14:paraId="41624C2E">
            <w:pPr>
              <w:pStyle w:val="112"/>
              <w:spacing w:before="0" w:after="0"/>
              <w:ind w:left="0" w:firstLine="0"/>
              <w:rPr>
                <w:rStyle w:val="44"/>
                <w:rFonts w:ascii="Arial" w:hAnsi="Arial" w:cs="Arial"/>
                <w:sz w:val="20"/>
                <w:lang w:val="sq-AL"/>
              </w:rPr>
            </w:pPr>
          </w:p>
        </w:tc>
        <w:tc>
          <w:tcPr>
            <w:tcW w:w="6405" w:type="dxa"/>
          </w:tcPr>
          <w:p w14:paraId="73114664">
            <w:pPr>
              <w:spacing w:before="120" w:after="120"/>
              <w:rPr>
                <w:rFonts w:ascii="Arial" w:hAnsi="Arial" w:cs="Arial"/>
                <w:b/>
                <w:szCs w:val="24"/>
              </w:rPr>
            </w:pPr>
            <w:r>
              <w:rPr>
                <w:rFonts w:ascii="Arial" w:hAnsi="Arial" w:cs="Arial"/>
                <w:b/>
                <w:szCs w:val="24"/>
              </w:rPr>
              <w:t>Kërkesat minimale kualifikuese</w:t>
            </w:r>
          </w:p>
        </w:tc>
      </w:tr>
      <w:tr w14:paraId="61EF3E06">
        <w:tblPrEx>
          <w:tblCellMar>
            <w:top w:w="0" w:type="dxa"/>
            <w:left w:w="108" w:type="dxa"/>
            <w:bottom w:w="0" w:type="dxa"/>
            <w:right w:w="108" w:type="dxa"/>
          </w:tblCellMar>
        </w:tblPrEx>
        <w:trPr>
          <w:jc w:val="center"/>
        </w:trPr>
        <w:tc>
          <w:tcPr>
            <w:tcW w:w="2120" w:type="dxa"/>
          </w:tcPr>
          <w:p w14:paraId="6E847A11">
            <w:pPr>
              <w:pStyle w:val="112"/>
              <w:spacing w:before="0" w:after="200"/>
              <w:ind w:left="0" w:firstLine="0"/>
              <w:rPr>
                <w:rFonts w:ascii="Arial" w:hAnsi="Arial" w:cs="Arial"/>
                <w:sz w:val="20"/>
                <w:lang w:val="sq-AL"/>
              </w:rPr>
            </w:pPr>
            <w:r>
              <w:rPr>
                <w:rFonts w:ascii="Arial" w:hAnsi="Arial" w:cs="Arial"/>
                <w:sz w:val="20"/>
                <w:lang w:val="sq-AL"/>
              </w:rPr>
              <w:t>7. Kërkesat mbi përshtatshmërinë profesionale</w:t>
            </w:r>
          </w:p>
        </w:tc>
        <w:tc>
          <w:tcPr>
            <w:tcW w:w="6405" w:type="dxa"/>
            <w:tcBorders>
              <w:bottom w:val="nil"/>
            </w:tcBorders>
          </w:tcPr>
          <w:p w14:paraId="6B4BC1C1">
            <w:pPr>
              <w:spacing w:after="0"/>
              <w:rPr>
                <w:rFonts w:ascii="Arial" w:hAnsi="Arial" w:cs="Arial"/>
                <w:b/>
                <w:sz w:val="20"/>
              </w:rPr>
            </w:pPr>
            <w:r>
              <w:rPr>
                <w:rFonts w:ascii="Arial" w:hAnsi="Arial" w:cs="Arial"/>
                <w:sz w:val="20"/>
              </w:rPr>
              <w:t>7.1 Operatorët ekonomik duhet ti plotësojnë kërkesat e përshtatshmërisë profesionale</w:t>
            </w:r>
            <w:r>
              <w:rPr>
                <w:rFonts w:ascii="Arial" w:hAnsi="Arial" w:cs="Arial"/>
                <w:b/>
                <w:sz w:val="20"/>
              </w:rPr>
              <w:t xml:space="preserve">  të shënuara në FDT.</w:t>
            </w:r>
          </w:p>
          <w:p w14:paraId="5454F263">
            <w:pPr>
              <w:spacing w:after="0"/>
              <w:rPr>
                <w:rFonts w:ascii="Arial" w:hAnsi="Arial" w:cs="Arial"/>
                <w:b/>
                <w:sz w:val="20"/>
              </w:rPr>
            </w:pPr>
          </w:p>
          <w:p w14:paraId="59E3A1BF">
            <w:pPr>
              <w:pStyle w:val="109"/>
              <w:spacing w:before="0" w:after="0"/>
              <w:rPr>
                <w:rFonts w:ascii="Arial" w:hAnsi="Arial" w:cs="Arial"/>
                <w:b/>
                <w:sz w:val="20"/>
                <w:lang w:val="sq-AL"/>
              </w:rPr>
            </w:pPr>
            <w:r>
              <w:rPr>
                <w:rFonts w:ascii="Arial" w:hAnsi="Arial" w:cs="Arial"/>
                <w:sz w:val="20"/>
                <w:lang w:val="sq-AL"/>
              </w:rPr>
              <w:t xml:space="preserve">7.2  Në mënyrë që të dëshmohet se operatori ekonomik është i përshtatshëm të marrë pjesë në procedurën e prokurimit, operatori ekonomik duhet t’i dorëzojë dokumente dëshmuese </w:t>
            </w:r>
            <w:r>
              <w:rPr>
                <w:rFonts w:ascii="Arial" w:hAnsi="Arial" w:cs="Arial"/>
                <w:b/>
                <w:sz w:val="20"/>
                <w:lang w:val="sq-AL"/>
              </w:rPr>
              <w:t>të shënuara në FDT.</w:t>
            </w:r>
          </w:p>
          <w:p w14:paraId="0CC0F7CD">
            <w:pPr>
              <w:pStyle w:val="109"/>
              <w:spacing w:before="0" w:after="0"/>
              <w:rPr>
                <w:rFonts w:ascii="Arial" w:hAnsi="Arial" w:cs="Arial"/>
                <w:sz w:val="20"/>
                <w:lang w:val="sq-AL"/>
              </w:rPr>
            </w:pPr>
          </w:p>
        </w:tc>
      </w:tr>
      <w:tr w14:paraId="0109758E">
        <w:tblPrEx>
          <w:tblCellMar>
            <w:top w:w="0" w:type="dxa"/>
            <w:left w:w="108" w:type="dxa"/>
            <w:bottom w:w="0" w:type="dxa"/>
            <w:right w:w="108" w:type="dxa"/>
          </w:tblCellMar>
        </w:tblPrEx>
        <w:trPr>
          <w:jc w:val="center"/>
        </w:trPr>
        <w:tc>
          <w:tcPr>
            <w:tcW w:w="2120" w:type="dxa"/>
          </w:tcPr>
          <w:p w14:paraId="322B621E">
            <w:pPr>
              <w:pStyle w:val="111"/>
              <w:tabs>
                <w:tab w:val="clear" w:pos="360"/>
              </w:tabs>
              <w:spacing w:before="0" w:after="200"/>
              <w:ind w:left="0" w:firstLine="0"/>
              <w:rPr>
                <w:rFonts w:ascii="Arial" w:hAnsi="Arial" w:cs="Arial"/>
                <w:sz w:val="20"/>
                <w:lang w:val="sq-AL"/>
              </w:rPr>
            </w:pPr>
            <w:r>
              <w:rPr>
                <w:rFonts w:ascii="Arial" w:hAnsi="Arial" w:cs="Arial"/>
                <w:sz w:val="20"/>
                <w:lang w:val="sq-AL"/>
              </w:rPr>
              <w:t>8. Kërkesat mbi gjendjen ekonomike dhe financiare</w:t>
            </w:r>
          </w:p>
        </w:tc>
        <w:tc>
          <w:tcPr>
            <w:tcW w:w="6405" w:type="dxa"/>
          </w:tcPr>
          <w:p w14:paraId="455FEEFE">
            <w:pPr>
              <w:spacing w:after="0"/>
              <w:rPr>
                <w:rFonts w:ascii="Arial" w:hAnsi="Arial" w:cs="Arial"/>
                <w:sz w:val="20"/>
              </w:rPr>
            </w:pPr>
            <w:r>
              <w:rPr>
                <w:rFonts w:ascii="Arial" w:hAnsi="Arial" w:cs="Arial"/>
                <w:sz w:val="20"/>
              </w:rPr>
              <w:t>8.1</w:t>
            </w:r>
            <w:r>
              <w:rPr>
                <w:rFonts w:ascii="Arial" w:hAnsi="Arial" w:cs="Arial"/>
                <w:b/>
                <w:sz w:val="20"/>
              </w:rPr>
              <w:t xml:space="preserve"> </w:t>
            </w:r>
            <w:r>
              <w:rPr>
                <w:rFonts w:ascii="Arial" w:hAnsi="Arial" w:cs="Arial"/>
                <w:sz w:val="20"/>
              </w:rPr>
              <w:t xml:space="preserve">Operatorët ekonomik duhet ti plotësojnë kërkesat minimale </w:t>
            </w:r>
            <w:r>
              <w:rPr>
                <w:rFonts w:ascii="Arial" w:hAnsi="Arial" w:cs="Arial"/>
                <w:b/>
                <w:sz w:val="20"/>
              </w:rPr>
              <w:t xml:space="preserve"> </w:t>
            </w:r>
            <w:r>
              <w:rPr>
                <w:rFonts w:ascii="Arial" w:hAnsi="Arial" w:cs="Arial"/>
                <w:sz w:val="20"/>
              </w:rPr>
              <w:t xml:space="preserve">ekonomike financiare </w:t>
            </w:r>
            <w:r>
              <w:rPr>
                <w:rFonts w:ascii="Arial" w:hAnsi="Arial" w:cs="Arial"/>
                <w:b/>
                <w:sz w:val="20"/>
              </w:rPr>
              <w:t>të shënuara në FDT</w:t>
            </w:r>
          </w:p>
          <w:p w14:paraId="0C6054CD">
            <w:pPr>
              <w:spacing w:after="0"/>
              <w:ind w:left="2550" w:hanging="2550"/>
              <w:rPr>
                <w:rFonts w:ascii="Arial" w:hAnsi="Arial" w:cs="Arial"/>
                <w:b/>
                <w:sz w:val="20"/>
              </w:rPr>
            </w:pPr>
          </w:p>
          <w:p w14:paraId="66A1FDBC">
            <w:pPr>
              <w:pStyle w:val="109"/>
              <w:spacing w:before="0" w:after="0"/>
              <w:rPr>
                <w:rFonts w:ascii="Arial" w:hAnsi="Arial" w:cs="Arial"/>
                <w:b/>
                <w:sz w:val="20"/>
                <w:lang w:val="sq-AL"/>
              </w:rPr>
            </w:pPr>
            <w:r>
              <w:rPr>
                <w:rFonts w:ascii="Arial" w:hAnsi="Arial" w:cs="Arial"/>
                <w:sz w:val="20"/>
                <w:lang w:val="sq-AL"/>
              </w:rPr>
              <w:t xml:space="preserve">8.2  Në mënyrë që të dëshmohet se operatori ekonomik i  plotëson kërkesat minimale ekonomike financiare operatori ekonomik duhet t’i dorëzojë dokumente dëshmuese </w:t>
            </w:r>
            <w:r>
              <w:rPr>
                <w:rFonts w:ascii="Arial" w:hAnsi="Arial" w:cs="Arial"/>
                <w:b/>
                <w:sz w:val="20"/>
                <w:lang w:val="sq-AL"/>
              </w:rPr>
              <w:t>të shënuara në FDT.</w:t>
            </w:r>
          </w:p>
          <w:p w14:paraId="6F8FF727">
            <w:pPr>
              <w:pStyle w:val="109"/>
              <w:spacing w:before="0" w:after="0"/>
              <w:rPr>
                <w:rFonts w:ascii="Arial" w:hAnsi="Arial" w:cs="Arial"/>
                <w:sz w:val="20"/>
                <w:lang w:val="sq-AL"/>
              </w:rPr>
            </w:pPr>
          </w:p>
        </w:tc>
      </w:tr>
      <w:tr w14:paraId="389A10FB">
        <w:tblPrEx>
          <w:tblCellMar>
            <w:top w:w="0" w:type="dxa"/>
            <w:left w:w="108" w:type="dxa"/>
            <w:bottom w:w="0" w:type="dxa"/>
            <w:right w:w="108" w:type="dxa"/>
          </w:tblCellMar>
        </w:tblPrEx>
        <w:trPr>
          <w:jc w:val="center"/>
        </w:trPr>
        <w:tc>
          <w:tcPr>
            <w:tcW w:w="2120" w:type="dxa"/>
          </w:tcPr>
          <w:p w14:paraId="62EF68BA">
            <w:pPr>
              <w:pStyle w:val="111"/>
              <w:tabs>
                <w:tab w:val="clear" w:pos="360"/>
              </w:tabs>
              <w:spacing w:before="0" w:after="200"/>
              <w:ind w:left="0" w:firstLine="0"/>
              <w:rPr>
                <w:rFonts w:ascii="Arial" w:hAnsi="Arial" w:cs="Arial"/>
                <w:sz w:val="20"/>
                <w:lang w:val="sq-AL"/>
              </w:rPr>
            </w:pPr>
            <w:r>
              <w:rPr>
                <w:rFonts w:ascii="Arial" w:hAnsi="Arial" w:cs="Arial"/>
                <w:sz w:val="20"/>
                <w:lang w:val="sq-AL"/>
              </w:rPr>
              <w:t xml:space="preserve">9. Kërkesat  mbi mundësitë                   teknike dhe/ose profesionale </w:t>
            </w:r>
          </w:p>
        </w:tc>
        <w:tc>
          <w:tcPr>
            <w:tcW w:w="6405" w:type="dxa"/>
          </w:tcPr>
          <w:p w14:paraId="1591A4DB">
            <w:pPr>
              <w:spacing w:after="0"/>
              <w:rPr>
                <w:rFonts w:ascii="Arial" w:hAnsi="Arial" w:cs="Arial"/>
                <w:b/>
                <w:sz w:val="20"/>
              </w:rPr>
            </w:pPr>
            <w:r>
              <w:rPr>
                <w:rFonts w:ascii="Arial" w:hAnsi="Arial" w:cs="Arial"/>
                <w:sz w:val="20"/>
              </w:rPr>
              <w:t>9.1</w:t>
            </w:r>
            <w:r>
              <w:rPr>
                <w:rFonts w:ascii="Arial" w:hAnsi="Arial" w:cs="Arial"/>
                <w:b/>
                <w:sz w:val="20"/>
              </w:rPr>
              <w:t xml:space="preserve"> </w:t>
            </w:r>
            <w:r>
              <w:rPr>
                <w:rFonts w:ascii="Arial" w:hAnsi="Arial" w:cs="Arial"/>
                <w:sz w:val="20"/>
              </w:rPr>
              <w:t>Operatorët ekonomik duhet ti plotësojnë kërkesat minimale mbi</w:t>
            </w:r>
            <w:r>
              <w:rPr>
                <w:rFonts w:ascii="Arial" w:hAnsi="Arial" w:cs="Arial"/>
                <w:b/>
                <w:sz w:val="20"/>
              </w:rPr>
              <w:t xml:space="preserve"> </w:t>
            </w:r>
            <w:r>
              <w:rPr>
                <w:rFonts w:ascii="Arial" w:hAnsi="Arial" w:cs="Arial"/>
                <w:sz w:val="20"/>
              </w:rPr>
              <w:t>mundësitë teknike dhe/apo</w:t>
            </w:r>
            <w:r>
              <w:rPr>
                <w:rFonts w:ascii="Arial" w:hAnsi="Arial" w:cs="Arial"/>
                <w:b/>
                <w:sz w:val="20"/>
              </w:rPr>
              <w:t xml:space="preserve"> </w:t>
            </w:r>
            <w:r>
              <w:rPr>
                <w:rFonts w:ascii="Arial" w:hAnsi="Arial" w:cs="Arial"/>
                <w:sz w:val="20"/>
              </w:rPr>
              <w:t xml:space="preserve">profesionale </w:t>
            </w:r>
            <w:r>
              <w:rPr>
                <w:rFonts w:ascii="Arial" w:hAnsi="Arial" w:cs="Arial"/>
                <w:b/>
                <w:sz w:val="20"/>
              </w:rPr>
              <w:t>të shënuara në FDT.</w:t>
            </w:r>
          </w:p>
          <w:p w14:paraId="0F6E191D">
            <w:pPr>
              <w:spacing w:after="0"/>
              <w:ind w:left="2040" w:hanging="2040"/>
              <w:rPr>
                <w:rFonts w:ascii="Arial" w:hAnsi="Arial" w:cs="Arial"/>
                <w:b/>
                <w:sz w:val="20"/>
              </w:rPr>
            </w:pPr>
            <w:r>
              <w:rPr>
                <w:rFonts w:ascii="Arial" w:hAnsi="Arial" w:cs="Arial"/>
                <w:b/>
                <w:sz w:val="20"/>
              </w:rPr>
              <w:tab/>
            </w:r>
          </w:p>
          <w:p w14:paraId="0DC61FD1">
            <w:pPr>
              <w:spacing w:after="0"/>
              <w:rPr>
                <w:rFonts w:ascii="Arial" w:hAnsi="Arial" w:cs="Arial"/>
                <w:b/>
                <w:sz w:val="20"/>
              </w:rPr>
            </w:pPr>
            <w:r>
              <w:rPr>
                <w:rFonts w:ascii="Arial" w:hAnsi="Arial" w:cs="Arial"/>
                <w:sz w:val="20"/>
              </w:rPr>
              <w:t>9.2 Në mënyrë që të dëshmohet se operatori ekonomik i  plotëson kërkesat minimale mbi mundësitë teknike dhe/apo</w:t>
            </w:r>
            <w:r>
              <w:rPr>
                <w:rFonts w:ascii="Arial" w:hAnsi="Arial" w:cs="Arial"/>
                <w:b/>
                <w:sz w:val="20"/>
              </w:rPr>
              <w:t xml:space="preserve"> </w:t>
            </w:r>
            <w:r>
              <w:rPr>
                <w:rFonts w:ascii="Arial" w:hAnsi="Arial" w:cs="Arial"/>
                <w:sz w:val="20"/>
              </w:rPr>
              <w:t xml:space="preserve">profesionale, operatori ekonomik duhet t’i dorëzojë dokumente dëshmuese </w:t>
            </w:r>
            <w:r>
              <w:rPr>
                <w:rFonts w:ascii="Arial" w:hAnsi="Arial" w:cs="Arial"/>
                <w:b/>
                <w:sz w:val="20"/>
              </w:rPr>
              <w:t>të shënuara në FDT.</w:t>
            </w:r>
          </w:p>
          <w:p w14:paraId="04BF43D6">
            <w:pPr>
              <w:spacing w:after="0"/>
              <w:rPr>
                <w:rFonts w:ascii="Arial" w:hAnsi="Arial" w:cs="Arial"/>
                <w:sz w:val="20"/>
              </w:rPr>
            </w:pPr>
          </w:p>
        </w:tc>
      </w:tr>
      <w:tr w14:paraId="5841AF11">
        <w:tblPrEx>
          <w:tblCellMar>
            <w:top w:w="0" w:type="dxa"/>
            <w:left w:w="108" w:type="dxa"/>
            <w:bottom w:w="0" w:type="dxa"/>
            <w:right w:w="108" w:type="dxa"/>
          </w:tblCellMar>
        </w:tblPrEx>
        <w:trPr>
          <w:jc w:val="center"/>
        </w:trPr>
        <w:tc>
          <w:tcPr>
            <w:tcW w:w="2120" w:type="dxa"/>
          </w:tcPr>
          <w:p w14:paraId="098A356B">
            <w:pPr>
              <w:pStyle w:val="111"/>
              <w:tabs>
                <w:tab w:val="clear" w:pos="360"/>
              </w:tabs>
              <w:spacing w:before="0" w:after="200"/>
              <w:ind w:left="0" w:firstLine="0"/>
              <w:rPr>
                <w:rFonts w:ascii="Arial" w:hAnsi="Arial" w:cs="Arial"/>
                <w:sz w:val="20"/>
                <w:lang w:val="sq-AL"/>
              </w:rPr>
            </w:pPr>
          </w:p>
        </w:tc>
        <w:tc>
          <w:tcPr>
            <w:tcW w:w="6405" w:type="dxa"/>
          </w:tcPr>
          <w:p w14:paraId="1630013F">
            <w:pPr>
              <w:spacing w:after="0"/>
              <w:rPr>
                <w:rFonts w:ascii="Arial" w:hAnsi="Arial" w:cs="Arial"/>
                <w:sz w:val="20"/>
              </w:rPr>
            </w:pPr>
            <w:r>
              <w:rPr>
                <w:rFonts w:ascii="Arial" w:hAnsi="Arial" w:cs="Arial"/>
                <w:sz w:val="20"/>
              </w:rPr>
              <w:t>9.3 Autoriteti kontraktues, me shpenzimet e tij, mund të kryejë një inspektim të operatorëve ekonomikë tenderues për qëllime të verifikimit.</w:t>
            </w:r>
          </w:p>
          <w:p w14:paraId="4AAC8A47">
            <w:pPr>
              <w:spacing w:after="0"/>
              <w:rPr>
                <w:rFonts w:ascii="Arial" w:hAnsi="Arial" w:cs="Arial"/>
                <w:sz w:val="20"/>
              </w:rPr>
            </w:pPr>
          </w:p>
        </w:tc>
      </w:tr>
      <w:tr w14:paraId="5FD1FDD6">
        <w:tblPrEx>
          <w:tblCellMar>
            <w:top w:w="0" w:type="dxa"/>
            <w:left w:w="108" w:type="dxa"/>
            <w:bottom w:w="0" w:type="dxa"/>
            <w:right w:w="108" w:type="dxa"/>
          </w:tblCellMar>
        </w:tblPrEx>
        <w:trPr>
          <w:jc w:val="center"/>
        </w:trPr>
        <w:tc>
          <w:tcPr>
            <w:tcW w:w="2120" w:type="dxa"/>
          </w:tcPr>
          <w:p w14:paraId="6AE600E1">
            <w:pPr>
              <w:pStyle w:val="109"/>
              <w:spacing w:before="0" w:after="200"/>
              <w:rPr>
                <w:rFonts w:ascii="Arial" w:hAnsi="Arial" w:cs="Arial"/>
                <w:b/>
                <w:sz w:val="20"/>
                <w:lang w:val="sq-AL"/>
              </w:rPr>
            </w:pPr>
            <w:r>
              <w:rPr>
                <w:rFonts w:ascii="Arial" w:hAnsi="Arial" w:cs="Arial"/>
                <w:b/>
                <w:sz w:val="20"/>
                <w:lang w:val="sq-AL"/>
              </w:rPr>
              <w:t>10. Informatat sekrete afariste</w:t>
            </w:r>
          </w:p>
        </w:tc>
        <w:tc>
          <w:tcPr>
            <w:tcW w:w="6405" w:type="dxa"/>
          </w:tcPr>
          <w:p w14:paraId="14BCB28C">
            <w:pPr>
              <w:spacing w:after="0"/>
              <w:rPr>
                <w:rFonts w:ascii="Arial" w:hAnsi="Arial" w:cs="Arial"/>
                <w:sz w:val="20"/>
              </w:rPr>
            </w:pPr>
            <w:r>
              <w:rPr>
                <w:rFonts w:ascii="Arial" w:hAnsi="Arial" w:cs="Arial"/>
                <w:sz w:val="20"/>
              </w:rPr>
              <w:t>10.1 Nëse operatori ekonomik dëshiron që ndonjë informatë lidhur me</w:t>
            </w:r>
            <w:r>
              <w:rPr>
                <w:rFonts w:ascii="Arial" w:hAnsi="Arial" w:cs="Arial"/>
                <w:b/>
                <w:sz w:val="20"/>
              </w:rPr>
              <w:t xml:space="preserve"> </w:t>
            </w:r>
            <w:r>
              <w:rPr>
                <w:rFonts w:ascii="Arial" w:hAnsi="Arial" w:cs="Arial"/>
                <w:sz w:val="20"/>
              </w:rPr>
              <w:t>gjendjen ekonomike /financiare dhe  aftësitë teknike/profesionale të trajtohet</w:t>
            </w:r>
            <w:r>
              <w:rPr>
                <w:rFonts w:ascii="Arial" w:hAnsi="Arial" w:cs="Arial"/>
                <w:b/>
                <w:sz w:val="20"/>
              </w:rPr>
              <w:t xml:space="preserve"> </w:t>
            </w:r>
            <w:r>
              <w:rPr>
                <w:rFonts w:ascii="Arial" w:hAnsi="Arial" w:cs="Arial"/>
                <w:sz w:val="20"/>
              </w:rPr>
              <w:t xml:space="preserve">si informatë sekrete afariste, duhet të dorëzoj një kërkesë me shkrim duke </w:t>
            </w:r>
            <w:r>
              <w:rPr>
                <w:rFonts w:ascii="Arial" w:hAnsi="Arial" w:cs="Arial"/>
                <w:b/>
                <w:sz w:val="20"/>
              </w:rPr>
              <w:t xml:space="preserve"> </w:t>
            </w:r>
            <w:r>
              <w:rPr>
                <w:rFonts w:ascii="Arial" w:hAnsi="Arial" w:cs="Arial"/>
                <w:sz w:val="20"/>
              </w:rPr>
              <w:t xml:space="preserve">përdorur formën e caktuar në këtë dosje të tenderit, shih Aneksin 3.  </w:t>
            </w:r>
          </w:p>
          <w:p w14:paraId="261A739C">
            <w:pPr>
              <w:spacing w:after="0"/>
              <w:rPr>
                <w:rFonts w:ascii="Arial" w:hAnsi="Arial" w:cs="Arial"/>
                <w:b/>
                <w:sz w:val="20"/>
              </w:rPr>
            </w:pPr>
          </w:p>
        </w:tc>
      </w:tr>
      <w:tr w14:paraId="295DB659">
        <w:tblPrEx>
          <w:tblCellMar>
            <w:top w:w="0" w:type="dxa"/>
            <w:left w:w="108" w:type="dxa"/>
            <w:bottom w:w="0" w:type="dxa"/>
            <w:right w:w="108" w:type="dxa"/>
          </w:tblCellMar>
        </w:tblPrEx>
        <w:trPr>
          <w:jc w:val="center"/>
        </w:trPr>
        <w:tc>
          <w:tcPr>
            <w:tcW w:w="2120" w:type="dxa"/>
          </w:tcPr>
          <w:p w14:paraId="1603F69A">
            <w:pPr>
              <w:pStyle w:val="112"/>
              <w:spacing w:before="0" w:after="200"/>
              <w:ind w:left="0" w:firstLine="0"/>
              <w:rPr>
                <w:rFonts w:ascii="Arial" w:hAnsi="Arial" w:cs="Arial"/>
                <w:caps/>
                <w:sz w:val="20"/>
                <w:lang w:val="sq-AL"/>
              </w:rPr>
            </w:pPr>
            <w:r>
              <w:rPr>
                <w:rFonts w:ascii="Arial" w:hAnsi="Arial" w:cs="Arial"/>
                <w:caps/>
                <w:sz w:val="20"/>
                <w:lang w:val="sq-AL"/>
              </w:rPr>
              <w:t xml:space="preserve">11. </w:t>
            </w:r>
            <w:r>
              <w:rPr>
                <w:rFonts w:ascii="Arial" w:hAnsi="Arial" w:cs="Arial"/>
                <w:sz w:val="20"/>
                <w:lang w:val="sq-AL"/>
              </w:rPr>
              <w:t>Krijimi i një grupi te operatoreve ekonomik</w:t>
            </w:r>
          </w:p>
          <w:p w14:paraId="31182F17">
            <w:pPr>
              <w:pStyle w:val="112"/>
              <w:spacing w:before="0" w:after="200"/>
              <w:ind w:left="0" w:firstLine="0"/>
              <w:rPr>
                <w:rFonts w:ascii="Arial" w:hAnsi="Arial" w:cs="Arial"/>
                <w:sz w:val="20"/>
                <w:lang w:val="sq-AL"/>
              </w:rPr>
            </w:pPr>
          </w:p>
        </w:tc>
        <w:tc>
          <w:tcPr>
            <w:tcW w:w="6405" w:type="dxa"/>
          </w:tcPr>
          <w:p w14:paraId="07D3413A">
            <w:pPr>
              <w:spacing w:after="0"/>
              <w:rPr>
                <w:rFonts w:ascii="Arial" w:hAnsi="Arial" w:cs="Arial"/>
                <w:b/>
                <w:sz w:val="20"/>
              </w:rPr>
            </w:pPr>
            <w:r>
              <w:rPr>
                <w:rFonts w:ascii="Arial" w:hAnsi="Arial" w:cs="Arial"/>
                <w:sz w:val="20"/>
              </w:rPr>
              <w:t>11.1 Nëse një tender dorëzohet nga një grup i operatorëve ekonomik,</w:t>
            </w:r>
            <w:r>
              <w:rPr>
                <w:rFonts w:ascii="Arial" w:hAnsi="Arial" w:cs="Arial"/>
                <w:b/>
                <w:sz w:val="20"/>
              </w:rPr>
              <w:t xml:space="preserve"> </w:t>
            </w:r>
            <w:r>
              <w:rPr>
                <w:rFonts w:ascii="Arial" w:hAnsi="Arial" w:cs="Arial"/>
                <w:sz w:val="20"/>
              </w:rPr>
              <w:t xml:space="preserve">grupi është i detyruar të </w:t>
            </w:r>
            <w:r>
              <w:rPr>
                <w:rFonts w:ascii="Arial" w:hAnsi="Arial" w:cs="Arial"/>
                <w:b/>
                <w:sz w:val="20"/>
              </w:rPr>
              <w:t>emëroj njërin nga anëtarët</w:t>
            </w:r>
            <w:r>
              <w:rPr>
                <w:rFonts w:ascii="Arial" w:hAnsi="Arial" w:cs="Arial"/>
                <w:sz w:val="20"/>
              </w:rPr>
              <w:t xml:space="preserve"> e grupit si</w:t>
            </w:r>
            <w:r>
              <w:rPr>
                <w:rFonts w:ascii="Arial" w:hAnsi="Arial" w:cs="Arial"/>
                <w:b/>
                <w:sz w:val="20"/>
              </w:rPr>
              <w:t xml:space="preserve"> </w:t>
            </w:r>
            <w:r>
              <w:rPr>
                <w:rFonts w:ascii="Arial" w:hAnsi="Arial" w:cs="Arial"/>
                <w:sz w:val="20"/>
              </w:rPr>
              <w:t>operator ekonomik kontaktues dhe duhet të prezantoj me tenderin e tij dokumentet</w:t>
            </w:r>
            <w:r>
              <w:rPr>
                <w:rFonts w:ascii="Arial" w:hAnsi="Arial" w:cs="Arial"/>
                <w:b/>
                <w:sz w:val="20"/>
              </w:rPr>
              <w:t xml:space="preserve"> e shënuar në FDT</w:t>
            </w:r>
            <w:r>
              <w:rPr>
                <w:rFonts w:ascii="Arial" w:hAnsi="Arial" w:cs="Arial"/>
                <w:sz w:val="20"/>
              </w:rPr>
              <w:t>.</w:t>
            </w:r>
          </w:p>
          <w:p w14:paraId="4E7A0691">
            <w:pPr>
              <w:spacing w:after="0"/>
              <w:rPr>
                <w:rFonts w:ascii="Arial" w:hAnsi="Arial" w:cs="Arial"/>
                <w:b/>
                <w:sz w:val="20"/>
              </w:rPr>
            </w:pPr>
          </w:p>
          <w:p w14:paraId="3A5AC0DE">
            <w:pPr>
              <w:spacing w:after="0"/>
              <w:rPr>
                <w:rStyle w:val="126"/>
                <w:rFonts w:ascii="Arial" w:hAnsi="Arial" w:cs="Arial"/>
                <w:color w:val="000000"/>
                <w:sz w:val="20"/>
              </w:rPr>
            </w:pPr>
            <w:r>
              <w:rPr>
                <w:rFonts w:ascii="Arial" w:hAnsi="Arial" w:cs="Arial"/>
                <w:sz w:val="20"/>
              </w:rPr>
              <w:t>11.2</w:t>
            </w:r>
            <w:r>
              <w:rPr>
                <w:rFonts w:ascii="Arial" w:hAnsi="Arial" w:cs="Arial"/>
                <w:color w:val="000000"/>
                <w:sz w:val="20"/>
              </w:rPr>
              <w:t xml:space="preserve"> </w:t>
            </w:r>
            <w:r>
              <w:rPr>
                <w:rStyle w:val="126"/>
                <w:rFonts w:ascii="Arial" w:hAnsi="Arial" w:cs="Arial"/>
                <w:color w:val="000000"/>
                <w:sz w:val="20"/>
              </w:rPr>
              <w:t>Nga një grup i tillë</w:t>
            </w:r>
            <w:r>
              <w:rPr>
                <w:rFonts w:ascii="Arial" w:hAnsi="Arial" w:cs="Arial"/>
                <w:color w:val="000000"/>
                <w:sz w:val="20"/>
              </w:rPr>
              <w:t xml:space="preserve"> </w:t>
            </w:r>
            <w:r>
              <w:rPr>
                <w:rStyle w:val="126"/>
                <w:rFonts w:ascii="Arial" w:hAnsi="Arial" w:cs="Arial"/>
                <w:color w:val="000000"/>
                <w:sz w:val="20"/>
              </w:rPr>
              <w:t>nuk</w:t>
            </w:r>
            <w:r>
              <w:rPr>
                <w:rFonts w:ascii="Arial" w:hAnsi="Arial" w:cs="Arial"/>
                <w:color w:val="000000"/>
                <w:sz w:val="20"/>
              </w:rPr>
              <w:t xml:space="preserve"> </w:t>
            </w:r>
            <w:r>
              <w:rPr>
                <w:rStyle w:val="126"/>
                <w:rFonts w:ascii="Arial" w:hAnsi="Arial" w:cs="Arial"/>
                <w:color w:val="000000"/>
                <w:sz w:val="20"/>
              </w:rPr>
              <w:t>do</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kërkohet</w:t>
            </w:r>
            <w:r>
              <w:rPr>
                <w:rFonts w:ascii="Arial" w:hAnsi="Arial" w:cs="Arial"/>
                <w:color w:val="000000"/>
                <w:sz w:val="20"/>
              </w:rPr>
              <w:t xml:space="preserve"> </w:t>
            </w:r>
            <w:r>
              <w:rPr>
                <w:rStyle w:val="126"/>
                <w:rFonts w:ascii="Arial" w:hAnsi="Arial" w:cs="Arial"/>
                <w:color w:val="000000"/>
                <w:sz w:val="20"/>
              </w:rPr>
              <w:t>për të</w:t>
            </w:r>
            <w:r>
              <w:rPr>
                <w:rFonts w:ascii="Arial" w:hAnsi="Arial" w:cs="Arial"/>
                <w:color w:val="000000"/>
                <w:sz w:val="20"/>
              </w:rPr>
              <w:t xml:space="preserve"> </w:t>
            </w:r>
            <w:r>
              <w:rPr>
                <w:rStyle w:val="126"/>
                <w:rFonts w:ascii="Arial" w:hAnsi="Arial" w:cs="Arial"/>
                <w:color w:val="000000"/>
                <w:sz w:val="20"/>
              </w:rPr>
              <w:t>marrë përsipër ndonjë formë</w:t>
            </w:r>
            <w:r>
              <w:rPr>
                <w:rFonts w:ascii="Arial" w:hAnsi="Arial" w:cs="Arial"/>
                <w:color w:val="000000"/>
                <w:sz w:val="20"/>
              </w:rPr>
              <w:t xml:space="preserve"> </w:t>
            </w:r>
            <w:r>
              <w:rPr>
                <w:rStyle w:val="126"/>
                <w:rFonts w:ascii="Arial" w:hAnsi="Arial" w:cs="Arial"/>
                <w:color w:val="000000"/>
                <w:sz w:val="20"/>
              </w:rPr>
              <w:t>të veçantë ligjore për</w:t>
            </w:r>
            <w:r>
              <w:rPr>
                <w:rFonts w:ascii="Arial" w:hAnsi="Arial" w:cs="Arial"/>
                <w:color w:val="000000"/>
                <w:sz w:val="20"/>
              </w:rPr>
              <w:t xml:space="preserve"> </w:t>
            </w:r>
            <w:r>
              <w:rPr>
                <w:rStyle w:val="126"/>
                <w:rFonts w:ascii="Arial" w:hAnsi="Arial" w:cs="Arial"/>
                <w:color w:val="000000"/>
                <w:sz w:val="20"/>
              </w:rPr>
              <w:t>të paraqitur</w:t>
            </w:r>
            <w:r>
              <w:rPr>
                <w:rFonts w:ascii="Arial" w:hAnsi="Arial" w:cs="Arial"/>
                <w:color w:val="000000"/>
                <w:sz w:val="20"/>
              </w:rPr>
              <w:t xml:space="preserve"> </w:t>
            </w:r>
            <w:r>
              <w:rPr>
                <w:rStyle w:val="126"/>
                <w:rFonts w:ascii="Arial" w:hAnsi="Arial" w:cs="Arial"/>
                <w:color w:val="000000"/>
                <w:sz w:val="20"/>
              </w:rPr>
              <w:t>tenderin</w:t>
            </w:r>
            <w:r>
              <w:rPr>
                <w:rFonts w:ascii="Arial" w:hAnsi="Arial" w:cs="Arial"/>
                <w:color w:val="000000"/>
                <w:sz w:val="20"/>
              </w:rPr>
              <w:t xml:space="preserve">, por </w:t>
            </w:r>
            <w:r>
              <w:rPr>
                <w:rStyle w:val="126"/>
                <w:rFonts w:ascii="Arial" w:hAnsi="Arial" w:cs="Arial"/>
                <w:color w:val="000000"/>
                <w:sz w:val="20"/>
              </w:rPr>
              <w:t>Autoriteti kontraktues rezervon të</w:t>
            </w:r>
            <w:r>
              <w:rPr>
                <w:rFonts w:ascii="Arial" w:hAnsi="Arial" w:cs="Arial"/>
                <w:color w:val="000000"/>
                <w:sz w:val="20"/>
              </w:rPr>
              <w:t xml:space="preserve"> </w:t>
            </w:r>
            <w:r>
              <w:rPr>
                <w:rStyle w:val="126"/>
                <w:rFonts w:ascii="Arial" w:hAnsi="Arial" w:cs="Arial"/>
                <w:color w:val="000000"/>
                <w:sz w:val="20"/>
              </w:rPr>
              <w:t>drejtën</w:t>
            </w:r>
            <w:r>
              <w:rPr>
                <w:rFonts w:ascii="Arial" w:hAnsi="Arial" w:cs="Arial"/>
                <w:color w:val="000000"/>
                <w:sz w:val="20"/>
              </w:rPr>
              <w:t xml:space="preserve">, </w:t>
            </w:r>
            <w:r>
              <w:rPr>
                <w:rStyle w:val="126"/>
                <w:rFonts w:ascii="Arial" w:hAnsi="Arial" w:cs="Arial"/>
                <w:color w:val="000000"/>
                <w:sz w:val="20"/>
              </w:rPr>
              <w:t>nëse</w:t>
            </w:r>
            <w:r>
              <w:rPr>
                <w:rFonts w:ascii="Arial" w:hAnsi="Arial" w:cs="Arial"/>
                <w:color w:val="000000"/>
                <w:sz w:val="20"/>
              </w:rPr>
              <w:t xml:space="preserve"> </w:t>
            </w:r>
            <w:r>
              <w:rPr>
                <w:rStyle w:val="126"/>
                <w:rFonts w:ascii="Arial" w:hAnsi="Arial" w:cs="Arial"/>
                <w:color w:val="000000"/>
                <w:sz w:val="20"/>
              </w:rPr>
              <w:t>një kërkesë e tillë</w:t>
            </w:r>
            <w:r>
              <w:rPr>
                <w:rFonts w:ascii="Arial" w:hAnsi="Arial" w:cs="Arial"/>
                <w:color w:val="000000"/>
                <w:sz w:val="20"/>
              </w:rPr>
              <w:t xml:space="preserve"> </w:t>
            </w:r>
            <w:r>
              <w:rPr>
                <w:rStyle w:val="126"/>
                <w:rFonts w:ascii="Arial" w:hAnsi="Arial" w:cs="Arial"/>
                <w:color w:val="000000"/>
                <w:sz w:val="20"/>
              </w:rPr>
              <w:t>është e nevojshme për</w:t>
            </w:r>
            <w:r>
              <w:rPr>
                <w:rFonts w:ascii="Arial" w:hAnsi="Arial" w:cs="Arial"/>
                <w:color w:val="000000"/>
                <w:sz w:val="20"/>
              </w:rPr>
              <w:t xml:space="preserve"> </w:t>
            </w:r>
            <w:r>
              <w:rPr>
                <w:rStyle w:val="126"/>
                <w:rFonts w:ascii="Arial" w:hAnsi="Arial" w:cs="Arial"/>
                <w:color w:val="000000"/>
                <w:sz w:val="20"/>
              </w:rPr>
              <w:t>përmbushjen e mjaftueshme të</w:t>
            </w:r>
            <w:r>
              <w:rPr>
                <w:rFonts w:ascii="Arial" w:hAnsi="Arial" w:cs="Arial"/>
                <w:color w:val="000000"/>
                <w:sz w:val="20"/>
              </w:rPr>
              <w:t xml:space="preserve"> </w:t>
            </w:r>
            <w:r>
              <w:rPr>
                <w:rStyle w:val="126"/>
                <w:rFonts w:ascii="Arial" w:hAnsi="Arial" w:cs="Arial"/>
                <w:color w:val="000000"/>
                <w:sz w:val="20"/>
              </w:rPr>
              <w:t>kontratës</w:t>
            </w:r>
            <w:r>
              <w:rPr>
                <w:rFonts w:ascii="Arial" w:hAnsi="Arial" w:cs="Arial"/>
                <w:color w:val="000000"/>
                <w:sz w:val="20"/>
              </w:rPr>
              <w:t xml:space="preserve">, </w:t>
            </w:r>
            <w:r>
              <w:rPr>
                <w:rStyle w:val="126"/>
                <w:rFonts w:ascii="Arial" w:hAnsi="Arial" w:cs="Arial"/>
                <w:color w:val="000000"/>
                <w:sz w:val="20"/>
              </w:rPr>
              <w:t>të kërkoj</w:t>
            </w:r>
            <w:r>
              <w:rPr>
                <w:rFonts w:ascii="Arial" w:hAnsi="Arial" w:cs="Arial"/>
                <w:color w:val="000000"/>
                <w:sz w:val="20"/>
              </w:rPr>
              <w:t xml:space="preserve"> </w:t>
            </w:r>
            <w:r>
              <w:rPr>
                <w:rStyle w:val="126"/>
                <w:rFonts w:ascii="Arial" w:hAnsi="Arial" w:cs="Arial"/>
                <w:color w:val="000000"/>
                <w:sz w:val="20"/>
              </w:rPr>
              <w:t>nga</w:t>
            </w:r>
            <w:r>
              <w:rPr>
                <w:rFonts w:ascii="Arial" w:hAnsi="Arial" w:cs="Arial"/>
                <w:color w:val="000000"/>
                <w:sz w:val="20"/>
              </w:rPr>
              <w:t xml:space="preserve"> </w:t>
            </w:r>
            <w:r>
              <w:rPr>
                <w:rStyle w:val="126"/>
                <w:rFonts w:ascii="Arial" w:hAnsi="Arial" w:cs="Arial"/>
                <w:color w:val="000000"/>
                <w:sz w:val="20"/>
              </w:rPr>
              <w:t>grupi i</w:t>
            </w:r>
            <w:r>
              <w:rPr>
                <w:rFonts w:ascii="Arial" w:hAnsi="Arial" w:cs="Arial"/>
                <w:color w:val="000000"/>
                <w:sz w:val="20"/>
              </w:rPr>
              <w:t xml:space="preserve"> </w:t>
            </w:r>
            <w:r>
              <w:rPr>
                <w:rStyle w:val="126"/>
                <w:rFonts w:ascii="Arial" w:hAnsi="Arial" w:cs="Arial"/>
                <w:color w:val="000000"/>
                <w:sz w:val="20"/>
              </w:rPr>
              <w:t>përzgjedhur</w:t>
            </w:r>
            <w:r>
              <w:rPr>
                <w:rFonts w:ascii="Arial" w:hAnsi="Arial" w:cs="Arial"/>
                <w:color w:val="000000"/>
                <w:sz w:val="20"/>
              </w:rPr>
              <w:t xml:space="preserve"> </w:t>
            </w:r>
            <w:r>
              <w:rPr>
                <w:rStyle w:val="126"/>
                <w:rFonts w:ascii="Arial" w:hAnsi="Arial" w:cs="Arial"/>
                <w:color w:val="000000"/>
                <w:sz w:val="20"/>
              </w:rPr>
              <w:t>për ta bërë këtë</w:t>
            </w:r>
            <w:r>
              <w:rPr>
                <w:rFonts w:ascii="Arial" w:hAnsi="Arial" w:cs="Arial"/>
                <w:color w:val="000000"/>
                <w:sz w:val="20"/>
              </w:rPr>
              <w:t xml:space="preserve"> </w:t>
            </w:r>
            <w:r>
              <w:rPr>
                <w:rStyle w:val="126"/>
                <w:rFonts w:ascii="Arial" w:hAnsi="Arial" w:cs="Arial"/>
                <w:color w:val="000000"/>
                <w:sz w:val="20"/>
              </w:rPr>
              <w:t>nëse</w:t>
            </w:r>
            <w:r>
              <w:rPr>
                <w:rFonts w:ascii="Arial" w:hAnsi="Arial" w:cs="Arial"/>
                <w:color w:val="000000"/>
                <w:sz w:val="20"/>
              </w:rPr>
              <w:t xml:space="preserve"> </w:t>
            </w:r>
            <w:r>
              <w:rPr>
                <w:rStyle w:val="126"/>
                <w:rFonts w:ascii="Arial" w:hAnsi="Arial" w:cs="Arial"/>
                <w:color w:val="000000"/>
                <w:sz w:val="20"/>
              </w:rPr>
              <w:t>kontrata</w:t>
            </w:r>
            <w:r>
              <w:rPr>
                <w:rFonts w:ascii="Arial" w:hAnsi="Arial" w:cs="Arial"/>
                <w:color w:val="000000"/>
                <w:sz w:val="20"/>
              </w:rPr>
              <w:t xml:space="preserve"> </w:t>
            </w:r>
            <w:r>
              <w:rPr>
                <w:rStyle w:val="126"/>
                <w:rFonts w:ascii="Arial" w:hAnsi="Arial" w:cs="Arial"/>
                <w:color w:val="000000"/>
                <w:sz w:val="20"/>
              </w:rPr>
              <w:t>i jepet</w:t>
            </w:r>
            <w:r>
              <w:rPr>
                <w:rFonts w:ascii="Arial" w:hAnsi="Arial" w:cs="Arial"/>
                <w:color w:val="000000"/>
                <w:sz w:val="20"/>
              </w:rPr>
              <w:t xml:space="preserve"> </w:t>
            </w:r>
            <w:r>
              <w:rPr>
                <w:rStyle w:val="126"/>
                <w:rFonts w:ascii="Arial" w:hAnsi="Arial" w:cs="Arial"/>
                <w:color w:val="000000"/>
                <w:sz w:val="20"/>
              </w:rPr>
              <w:t>një grup të tillë</w:t>
            </w:r>
            <w:r>
              <w:rPr>
                <w:rFonts w:ascii="Arial" w:hAnsi="Arial" w:cs="Arial"/>
                <w:color w:val="000000"/>
                <w:sz w:val="20"/>
              </w:rPr>
              <w:t xml:space="preserve"> </w:t>
            </w:r>
            <w:r>
              <w:rPr>
                <w:rStyle w:val="126"/>
                <w:rFonts w:ascii="Arial" w:hAnsi="Arial" w:cs="Arial"/>
                <w:color w:val="000000"/>
                <w:sz w:val="20"/>
              </w:rPr>
              <w:t>si</w:t>
            </w:r>
            <w:r>
              <w:rPr>
                <w:rFonts w:ascii="Arial" w:hAnsi="Arial" w:cs="Arial"/>
                <w:color w:val="000000"/>
                <w:sz w:val="20"/>
              </w:rPr>
              <w:t xml:space="preserve"> </w:t>
            </w:r>
            <w:r>
              <w:rPr>
                <w:rStyle w:val="126"/>
                <w:rFonts w:ascii="Arial" w:hAnsi="Arial" w:cs="Arial"/>
                <w:color w:val="000000"/>
                <w:sz w:val="20"/>
              </w:rPr>
              <w:t>parakusht</w:t>
            </w:r>
            <w:r>
              <w:rPr>
                <w:rFonts w:ascii="Arial" w:hAnsi="Arial" w:cs="Arial"/>
                <w:color w:val="000000"/>
                <w:sz w:val="20"/>
              </w:rPr>
              <w:t xml:space="preserve"> </w:t>
            </w:r>
            <w:r>
              <w:rPr>
                <w:rStyle w:val="126"/>
                <w:rFonts w:ascii="Arial" w:hAnsi="Arial" w:cs="Arial"/>
                <w:color w:val="000000"/>
                <w:sz w:val="20"/>
              </w:rPr>
              <w:t>për nënshkrimin</w:t>
            </w:r>
            <w:r>
              <w:rPr>
                <w:rFonts w:ascii="Arial" w:hAnsi="Arial" w:cs="Arial"/>
                <w:color w:val="000000"/>
                <w:sz w:val="20"/>
              </w:rPr>
              <w:t xml:space="preserve"> </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kontratës.</w:t>
            </w:r>
          </w:p>
          <w:p w14:paraId="46A5D678">
            <w:pPr>
              <w:spacing w:after="0"/>
              <w:rPr>
                <w:rStyle w:val="126"/>
                <w:rFonts w:ascii="Arial" w:hAnsi="Arial" w:cs="Arial"/>
                <w:color w:val="000000"/>
                <w:sz w:val="20"/>
              </w:rPr>
            </w:pPr>
          </w:p>
          <w:p w14:paraId="6321A0EB">
            <w:pPr>
              <w:autoSpaceDE w:val="0"/>
              <w:autoSpaceDN w:val="0"/>
              <w:adjustRightInd w:val="0"/>
              <w:spacing w:after="0"/>
              <w:rPr>
                <w:rFonts w:ascii="Arial" w:hAnsi="Arial" w:cs="Arial"/>
                <w:sz w:val="20"/>
              </w:rPr>
            </w:pPr>
            <w:r>
              <w:rPr>
                <w:rFonts w:ascii="Arial" w:hAnsi="Arial" w:cs="Arial"/>
                <w:sz w:val="20"/>
              </w:rPr>
              <w:t>11.3 Operatoret ekonomik nuk janë te lejuar qe te tenderojnë ne te njëjtën kohe ne mënyre individuale dhe si anëtarë te një grupi apo si anëtarë te grupeve te ndryshme. Ne raste te tilla operatori ekonomik dhe grupi i tille do te jene te papranueshëm.</w:t>
            </w:r>
          </w:p>
          <w:p w14:paraId="1C2743B8">
            <w:pPr>
              <w:spacing w:after="0"/>
              <w:rPr>
                <w:rFonts w:ascii="Arial" w:hAnsi="Arial" w:cs="Arial"/>
                <w:color w:val="000000"/>
                <w:sz w:val="20"/>
              </w:rPr>
            </w:pPr>
          </w:p>
        </w:tc>
      </w:tr>
      <w:tr w14:paraId="3926B9E3">
        <w:tblPrEx>
          <w:tblCellMar>
            <w:top w:w="0" w:type="dxa"/>
            <w:left w:w="108" w:type="dxa"/>
            <w:bottom w:w="0" w:type="dxa"/>
            <w:right w:w="108" w:type="dxa"/>
          </w:tblCellMar>
        </w:tblPrEx>
        <w:trPr>
          <w:trHeight w:val="851" w:hRule="atLeast"/>
          <w:jc w:val="center"/>
        </w:trPr>
        <w:tc>
          <w:tcPr>
            <w:tcW w:w="2120" w:type="dxa"/>
          </w:tcPr>
          <w:p w14:paraId="0B293945">
            <w:pPr>
              <w:pStyle w:val="112"/>
              <w:spacing w:before="0" w:after="200"/>
              <w:rPr>
                <w:rFonts w:ascii="Arial" w:hAnsi="Arial" w:cs="Arial"/>
                <w:caps/>
                <w:sz w:val="20"/>
                <w:lang w:val="sq-AL"/>
              </w:rPr>
            </w:pPr>
            <w:r>
              <w:rPr>
                <w:rFonts w:ascii="Arial" w:hAnsi="Arial" w:cs="Arial"/>
                <w:sz w:val="20"/>
                <w:lang w:val="sq-AL"/>
              </w:rPr>
              <w:t>12. Nën-kontraktimet</w:t>
            </w:r>
          </w:p>
        </w:tc>
        <w:tc>
          <w:tcPr>
            <w:tcW w:w="6405" w:type="dxa"/>
          </w:tcPr>
          <w:p w14:paraId="4786C3BD">
            <w:pPr>
              <w:spacing w:after="0"/>
              <w:rPr>
                <w:rStyle w:val="126"/>
                <w:rFonts w:ascii="Arial" w:hAnsi="Arial" w:cs="Arial"/>
                <w:b/>
                <w:color w:val="000000"/>
                <w:sz w:val="20"/>
              </w:rPr>
            </w:pPr>
            <w:r>
              <w:rPr>
                <w:rStyle w:val="126"/>
                <w:rFonts w:ascii="Arial" w:hAnsi="Arial" w:cs="Arial"/>
                <w:color w:val="000000"/>
                <w:sz w:val="20"/>
              </w:rPr>
              <w:t>12.1</w:t>
            </w:r>
            <w:r>
              <w:rPr>
                <w:rFonts w:ascii="Arial" w:hAnsi="Arial" w:cs="Arial"/>
                <w:color w:val="000000"/>
                <w:sz w:val="20"/>
              </w:rPr>
              <w:t xml:space="preserve"> </w:t>
            </w:r>
            <w:r>
              <w:rPr>
                <w:rStyle w:val="126"/>
                <w:rFonts w:ascii="Arial" w:hAnsi="Arial" w:cs="Arial"/>
                <w:color w:val="000000"/>
                <w:sz w:val="20"/>
              </w:rPr>
              <w:t>Operatorët Ekonomikë</w:t>
            </w:r>
            <w:r>
              <w:rPr>
                <w:rFonts w:ascii="Arial" w:hAnsi="Arial" w:cs="Arial"/>
                <w:color w:val="000000"/>
                <w:sz w:val="20"/>
              </w:rPr>
              <w:t xml:space="preserve"> </w:t>
            </w:r>
            <w:r>
              <w:rPr>
                <w:rFonts w:ascii="Arial" w:hAnsi="Arial" w:cs="Arial"/>
                <w:sz w:val="20"/>
              </w:rPr>
              <w:t xml:space="preserve"> ne tenderin e tyre duhet të deklarojnë  cilëndo pjese te kontratës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Operatori Ekonomik</w:t>
            </w:r>
            <w:r>
              <w:rPr>
                <w:rFonts w:ascii="Arial" w:hAnsi="Arial" w:cs="Arial"/>
                <w:color w:val="000000"/>
                <w:sz w:val="20"/>
              </w:rPr>
              <w:t xml:space="preserve"> ka </w:t>
            </w:r>
            <w:r>
              <w:rPr>
                <w:rStyle w:val="126"/>
                <w:rFonts w:ascii="Arial" w:hAnsi="Arial" w:cs="Arial"/>
                <w:color w:val="000000"/>
                <w:sz w:val="20"/>
              </w:rPr>
              <w:t>për qëllim</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nënkontraktojë palën e tretë</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te dorëzoje me tenderin e tij dokumentet e</w:t>
            </w:r>
            <w:r>
              <w:rPr>
                <w:rStyle w:val="126"/>
                <w:rFonts w:ascii="Arial" w:hAnsi="Arial" w:cs="Arial"/>
                <w:b/>
                <w:color w:val="000000"/>
                <w:sz w:val="20"/>
              </w:rPr>
              <w:t xml:space="preserve"> shënuara në</w:t>
            </w:r>
            <w:r>
              <w:rPr>
                <w:rFonts w:ascii="Arial" w:hAnsi="Arial" w:cs="Arial"/>
                <w:b/>
                <w:color w:val="000000"/>
                <w:sz w:val="20"/>
              </w:rPr>
              <w:t xml:space="preserve"> </w:t>
            </w:r>
            <w:r>
              <w:rPr>
                <w:rStyle w:val="126"/>
                <w:rFonts w:ascii="Arial" w:hAnsi="Arial" w:cs="Arial"/>
                <w:b/>
                <w:color w:val="000000"/>
                <w:sz w:val="20"/>
              </w:rPr>
              <w:t>FDT.</w:t>
            </w:r>
          </w:p>
          <w:p w14:paraId="181001EE">
            <w:pPr>
              <w:spacing w:after="0"/>
              <w:rPr>
                <w:rFonts w:ascii="Arial" w:hAnsi="Arial" w:cs="Arial"/>
                <w:color w:val="000000"/>
                <w:sz w:val="20"/>
              </w:rPr>
            </w:pPr>
          </w:p>
        </w:tc>
      </w:tr>
      <w:tr w14:paraId="5F2B396C">
        <w:tblPrEx>
          <w:tblCellMar>
            <w:top w:w="0" w:type="dxa"/>
            <w:left w:w="108" w:type="dxa"/>
            <w:bottom w:w="0" w:type="dxa"/>
            <w:right w:w="108" w:type="dxa"/>
          </w:tblCellMar>
        </w:tblPrEx>
        <w:trPr>
          <w:jc w:val="center"/>
        </w:trPr>
        <w:tc>
          <w:tcPr>
            <w:tcW w:w="2120" w:type="dxa"/>
          </w:tcPr>
          <w:p w14:paraId="1DB61CAC">
            <w:pPr>
              <w:pStyle w:val="112"/>
              <w:spacing w:before="0" w:after="200"/>
              <w:ind w:left="0" w:firstLine="0"/>
              <w:rPr>
                <w:rFonts w:ascii="Arial" w:hAnsi="Arial" w:cs="Arial"/>
                <w:sz w:val="20"/>
                <w:lang w:val="sq-AL"/>
              </w:rPr>
            </w:pPr>
            <w:bookmarkStart w:id="21" w:name="_Toc438907025"/>
            <w:bookmarkStart w:id="22" w:name="_Toc438438842"/>
            <w:bookmarkStart w:id="23" w:name="_Toc438532605"/>
            <w:bookmarkStart w:id="24" w:name="_Toc61936858"/>
            <w:bookmarkStart w:id="25" w:name="_Toc438733986"/>
            <w:bookmarkStart w:id="26" w:name="_Toc438907224"/>
            <w:r>
              <w:rPr>
                <w:rFonts w:ascii="Arial" w:hAnsi="Arial" w:cs="Arial"/>
                <w:sz w:val="20"/>
                <w:lang w:val="sq-AL"/>
              </w:rPr>
              <w:t xml:space="preserve">13. </w:t>
            </w:r>
            <w:r>
              <w:rPr>
                <w:rStyle w:val="126"/>
                <w:rFonts w:ascii="Arial" w:hAnsi="Arial" w:cs="Arial"/>
                <w:color w:val="000000"/>
                <w:sz w:val="20"/>
                <w:lang w:val="sq-AL"/>
              </w:rPr>
              <w:t>Sigurimi i tenderit</w:t>
            </w:r>
            <w:bookmarkEnd w:id="21"/>
            <w:bookmarkEnd w:id="22"/>
            <w:bookmarkEnd w:id="23"/>
            <w:bookmarkEnd w:id="24"/>
            <w:bookmarkEnd w:id="25"/>
            <w:bookmarkEnd w:id="26"/>
          </w:p>
        </w:tc>
        <w:tc>
          <w:tcPr>
            <w:tcW w:w="6405" w:type="dxa"/>
          </w:tcPr>
          <w:p w14:paraId="6E76B8D7">
            <w:pPr>
              <w:spacing w:after="0"/>
              <w:rPr>
                <w:rFonts w:ascii="Arial" w:hAnsi="Arial" w:cs="Arial"/>
                <w:b/>
                <w:sz w:val="20"/>
              </w:rPr>
            </w:pPr>
            <w:r>
              <w:rPr>
                <w:rStyle w:val="126"/>
                <w:rFonts w:ascii="Arial" w:hAnsi="Arial" w:cs="Arial"/>
                <w:color w:val="000000"/>
                <w:sz w:val="20"/>
              </w:rPr>
              <w:t>13.1</w:t>
            </w:r>
            <w:r>
              <w:rPr>
                <w:rFonts w:ascii="Arial" w:hAnsi="Arial" w:cs="Arial"/>
                <w:color w:val="000000"/>
                <w:sz w:val="20"/>
              </w:rPr>
              <w:t xml:space="preserve"> </w:t>
            </w:r>
            <w:r>
              <w:rPr>
                <w:rStyle w:val="126"/>
                <w:rFonts w:ascii="Arial" w:hAnsi="Arial" w:cs="Arial"/>
                <w:b/>
                <w:color w:val="000000"/>
                <w:sz w:val="20"/>
              </w:rPr>
              <w:t>Në qoftë se</w:t>
            </w:r>
            <w:r>
              <w:rPr>
                <w:rFonts w:ascii="Arial" w:hAnsi="Arial" w:cs="Arial"/>
                <w:b/>
                <w:color w:val="000000"/>
                <w:sz w:val="20"/>
              </w:rPr>
              <w:t xml:space="preserve"> shënohet në FDT</w:t>
            </w:r>
            <w:r>
              <w:rPr>
                <w:rFonts w:ascii="Arial" w:hAnsi="Arial" w:cs="Arial"/>
                <w:color w:val="000000"/>
                <w:sz w:val="20"/>
              </w:rPr>
              <w:t xml:space="preserve"> tenderuesi</w:t>
            </w:r>
            <w:r>
              <w:rPr>
                <w:rStyle w:val="126"/>
                <w:rFonts w:ascii="Arial" w:hAnsi="Arial" w:cs="Arial"/>
                <w:color w:val="000000"/>
                <w:sz w:val="20"/>
              </w:rPr>
              <w:t xml:space="preserve"> duhet të</w:t>
            </w:r>
            <w:r>
              <w:rPr>
                <w:rFonts w:ascii="Arial" w:hAnsi="Arial" w:cs="Arial"/>
                <w:color w:val="000000"/>
                <w:sz w:val="20"/>
              </w:rPr>
              <w:t xml:space="preserve"> dorëzoj, si</w:t>
            </w:r>
            <w:r>
              <w:rPr>
                <w:rFonts w:ascii="Arial" w:hAnsi="Arial" w:cs="Arial"/>
                <w:b/>
                <w:sz w:val="20"/>
              </w:rPr>
              <w:t xml:space="preserve"> </w:t>
            </w:r>
            <w:r>
              <w:rPr>
                <w:rFonts w:ascii="Arial" w:hAnsi="Arial" w:cs="Arial"/>
                <w:color w:val="000000"/>
                <w:sz w:val="20"/>
              </w:rPr>
              <w:t>pjesë t</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tenderit</w:t>
            </w:r>
            <w:r>
              <w:rPr>
                <w:rFonts w:ascii="Arial" w:hAnsi="Arial" w:cs="Arial"/>
                <w:color w:val="000000"/>
                <w:sz w:val="20"/>
              </w:rPr>
              <w:t xml:space="preserve"> </w:t>
            </w:r>
            <w:r>
              <w:rPr>
                <w:rStyle w:val="126"/>
                <w:rFonts w:ascii="Arial" w:hAnsi="Arial" w:cs="Arial"/>
                <w:color w:val="000000"/>
                <w:sz w:val="20"/>
              </w:rPr>
              <w:t>të tij,</w:t>
            </w:r>
            <w:r>
              <w:rPr>
                <w:rFonts w:ascii="Arial" w:hAnsi="Arial" w:cs="Arial"/>
                <w:color w:val="000000"/>
                <w:sz w:val="20"/>
              </w:rPr>
              <w:t xml:space="preserve"> </w:t>
            </w:r>
            <w:r>
              <w:rPr>
                <w:rStyle w:val="126"/>
                <w:rFonts w:ascii="Arial" w:hAnsi="Arial" w:cs="Arial"/>
                <w:color w:val="000000"/>
                <w:sz w:val="20"/>
              </w:rPr>
              <w:t>një</w:t>
            </w:r>
            <w:r>
              <w:rPr>
                <w:rFonts w:ascii="Arial" w:hAnsi="Arial" w:cs="Arial"/>
                <w:color w:val="000000"/>
                <w:sz w:val="20"/>
              </w:rPr>
              <w:t xml:space="preserve"> </w:t>
            </w:r>
            <w:r>
              <w:rPr>
                <w:rStyle w:val="126"/>
                <w:rFonts w:ascii="Arial" w:hAnsi="Arial" w:cs="Arial"/>
                <w:color w:val="000000"/>
                <w:sz w:val="20"/>
              </w:rPr>
              <w:t>Sigurim të tenderit</w:t>
            </w:r>
            <w:r>
              <w:rPr>
                <w:rFonts w:ascii="Arial" w:hAnsi="Arial" w:cs="Arial"/>
                <w:color w:val="000000"/>
                <w:sz w:val="20"/>
              </w:rPr>
              <w:t>.</w:t>
            </w:r>
            <w:r>
              <w:rPr>
                <w:rFonts w:ascii="Arial" w:hAnsi="Arial" w:cs="Arial"/>
                <w:b/>
                <w:sz w:val="20"/>
              </w:rPr>
              <w:tab/>
            </w:r>
          </w:p>
          <w:p w14:paraId="5B9DFF73">
            <w:pPr>
              <w:spacing w:after="0"/>
              <w:ind w:left="2550"/>
              <w:rPr>
                <w:rFonts w:ascii="Arial" w:hAnsi="Arial" w:cs="Arial"/>
                <w:b/>
                <w:sz w:val="20"/>
              </w:rPr>
            </w:pPr>
            <w:r>
              <w:rPr>
                <w:rFonts w:ascii="Arial" w:hAnsi="Arial" w:cs="Arial"/>
                <w:b/>
                <w:sz w:val="20"/>
              </w:rPr>
              <w:t xml:space="preserve">   </w:t>
            </w:r>
          </w:p>
          <w:p w14:paraId="575DB59E">
            <w:pPr>
              <w:spacing w:after="0"/>
              <w:rPr>
                <w:rFonts w:ascii="Arial" w:hAnsi="Arial" w:cs="Arial"/>
                <w:sz w:val="20"/>
              </w:rPr>
            </w:pPr>
            <w:r>
              <w:rPr>
                <w:rFonts w:ascii="Arial" w:hAnsi="Arial" w:cs="Arial"/>
                <w:sz w:val="20"/>
              </w:rPr>
              <w:t>13.2 Siguria e tenderit duhet të jetë në shumën dhe</w:t>
            </w:r>
            <w:r>
              <w:rPr>
                <w:rFonts w:ascii="Arial" w:hAnsi="Arial" w:cs="Arial"/>
                <w:b/>
                <w:sz w:val="20"/>
              </w:rPr>
              <w:t xml:space="preserve"> </w:t>
            </w:r>
            <w:r>
              <w:rPr>
                <w:rFonts w:ascii="Arial" w:hAnsi="Arial" w:cs="Arial"/>
                <w:sz w:val="20"/>
              </w:rPr>
              <w:t xml:space="preserve">për një periudhe valide siç është </w:t>
            </w:r>
            <w:r>
              <w:rPr>
                <w:rFonts w:ascii="Arial" w:hAnsi="Arial" w:cs="Arial"/>
                <w:b/>
                <w:sz w:val="20"/>
              </w:rPr>
              <w:t xml:space="preserve">e shënuar në FDT, </w:t>
            </w:r>
            <w:r>
              <w:rPr>
                <w:rFonts w:ascii="Arial" w:hAnsi="Arial" w:cs="Arial"/>
                <w:sz w:val="20"/>
              </w:rPr>
              <w:t xml:space="preserve">dhe mund të dorëzohet në një nga format e shënuara si më poshtë: </w:t>
            </w:r>
          </w:p>
          <w:p w14:paraId="410D5C3E">
            <w:pPr>
              <w:spacing w:after="0"/>
              <w:ind w:left="2205"/>
              <w:rPr>
                <w:rFonts w:ascii="Arial" w:hAnsi="Arial" w:cs="Arial"/>
                <w:sz w:val="20"/>
              </w:rPr>
            </w:pPr>
          </w:p>
          <w:p w14:paraId="38989B4E">
            <w:pPr>
              <w:pStyle w:val="114"/>
              <w:numPr>
                <w:ilvl w:val="0"/>
                <w:numId w:val="12"/>
              </w:numPr>
              <w:rPr>
                <w:rFonts w:ascii="Arial" w:hAnsi="Arial" w:cs="Arial"/>
                <w:sz w:val="20"/>
              </w:rPr>
            </w:pPr>
            <w:r>
              <w:rPr>
                <w:rFonts w:ascii="Arial" w:hAnsi="Arial" w:cs="Arial"/>
                <w:sz w:val="20"/>
              </w:rPr>
              <w:t>çeku të vërtetuar nga  një bankë e klasit të parë;</w:t>
            </w:r>
          </w:p>
          <w:p w14:paraId="518ABE93">
            <w:pPr>
              <w:pStyle w:val="114"/>
              <w:numPr>
                <w:ilvl w:val="0"/>
                <w:numId w:val="12"/>
              </w:numPr>
              <w:rPr>
                <w:rFonts w:ascii="Arial" w:hAnsi="Arial" w:cs="Arial"/>
                <w:sz w:val="20"/>
              </w:rPr>
            </w:pPr>
            <w:r>
              <w:rPr>
                <w:rFonts w:ascii="Arial" w:hAnsi="Arial" w:cs="Arial"/>
                <w:sz w:val="20"/>
              </w:rPr>
              <w:t xml:space="preserve"> letër krediti, të hapur dhe të konfirmuar nga një bankë e klasit të parë;</w:t>
            </w:r>
          </w:p>
          <w:p w14:paraId="52BDF2EE">
            <w:pPr>
              <w:pStyle w:val="114"/>
              <w:numPr>
                <w:ilvl w:val="0"/>
                <w:numId w:val="12"/>
              </w:numPr>
              <w:rPr>
                <w:rFonts w:ascii="Arial" w:hAnsi="Arial" w:cs="Arial"/>
                <w:sz w:val="20"/>
              </w:rPr>
            </w:pPr>
            <w:r>
              <w:rPr>
                <w:rFonts w:ascii="Arial" w:hAnsi="Arial" w:cs="Arial"/>
                <w:sz w:val="20"/>
              </w:rPr>
              <w:t>garancie të pakushtëzuar bankare, të lëshuar nga një bankë e klasit të parë; apo</w:t>
            </w:r>
          </w:p>
          <w:p w14:paraId="5C1D7305">
            <w:pPr>
              <w:pStyle w:val="114"/>
              <w:numPr>
                <w:ilvl w:val="0"/>
                <w:numId w:val="12"/>
              </w:numPr>
              <w:rPr>
                <w:rFonts w:ascii="Arial" w:hAnsi="Arial" w:cs="Arial"/>
                <w:sz w:val="20"/>
              </w:rPr>
            </w:pPr>
            <w:r>
              <w:rPr>
                <w:rFonts w:ascii="Arial" w:hAnsi="Arial" w:cs="Arial"/>
                <w:sz w:val="20"/>
              </w:rPr>
              <w:t xml:space="preserve"> police e sigurimit të lëshuar nga një Kompani e licencuar e sigurimeve.</w:t>
            </w:r>
          </w:p>
          <w:p w14:paraId="70D2697F">
            <w:pPr>
              <w:pStyle w:val="114"/>
              <w:rPr>
                <w:rFonts w:ascii="Arial" w:hAnsi="Arial" w:cs="Arial"/>
                <w:sz w:val="20"/>
              </w:rPr>
            </w:pPr>
          </w:p>
          <w:p w14:paraId="53260F71">
            <w:pPr>
              <w:pStyle w:val="114"/>
              <w:rPr>
                <w:rFonts w:ascii="Arial" w:hAnsi="Arial" w:cs="Arial"/>
                <w:sz w:val="20"/>
              </w:rPr>
            </w:pPr>
          </w:p>
          <w:p w14:paraId="762B47E0">
            <w:pPr>
              <w:spacing w:after="0"/>
              <w:rPr>
                <w:rFonts w:ascii="Arial" w:hAnsi="Arial" w:cs="Arial"/>
                <w:color w:val="000000"/>
                <w:sz w:val="20"/>
              </w:rPr>
            </w:pPr>
            <w:r>
              <w:rPr>
                <w:rFonts w:ascii="Arial" w:hAnsi="Arial" w:cs="Arial"/>
                <w:sz w:val="20"/>
              </w:rPr>
              <w:t xml:space="preserve">13.3 Nëse kërkohet Sigurimi i Tenderit dhe </w:t>
            </w:r>
            <w:r>
              <w:rPr>
                <w:rStyle w:val="126"/>
                <w:rFonts w:ascii="Arial" w:hAnsi="Arial" w:cs="Arial"/>
                <w:color w:val="000000"/>
                <w:sz w:val="20"/>
              </w:rPr>
              <w:t>ndonjë</w:t>
            </w:r>
            <w:r>
              <w:rPr>
                <w:rFonts w:ascii="Arial" w:hAnsi="Arial" w:cs="Arial"/>
                <w:color w:val="000000"/>
                <w:sz w:val="20"/>
              </w:rPr>
              <w:t xml:space="preserve"> </w:t>
            </w:r>
            <w:r>
              <w:rPr>
                <w:rStyle w:val="126"/>
                <w:rFonts w:ascii="Arial" w:hAnsi="Arial" w:cs="Arial"/>
                <w:color w:val="000000"/>
                <w:sz w:val="20"/>
              </w:rPr>
              <w:t>tender</w:t>
            </w:r>
            <w:r>
              <w:rPr>
                <w:rFonts w:ascii="Arial" w:hAnsi="Arial" w:cs="Arial"/>
                <w:color w:val="000000"/>
                <w:sz w:val="20"/>
              </w:rPr>
              <w:t xml:space="preserve"> </w:t>
            </w:r>
            <w:r>
              <w:rPr>
                <w:rStyle w:val="126"/>
                <w:rFonts w:ascii="Arial" w:hAnsi="Arial" w:cs="Arial"/>
                <w:color w:val="000000"/>
                <w:sz w:val="20"/>
              </w:rPr>
              <w:t>nuk është shoqëruar me</w:t>
            </w:r>
            <w:r>
              <w:rPr>
                <w:rFonts w:ascii="Arial" w:hAnsi="Arial" w:cs="Arial"/>
                <w:color w:val="000000"/>
                <w:sz w:val="20"/>
              </w:rPr>
              <w:t xml:space="preserve"> </w:t>
            </w:r>
            <w:r>
              <w:rPr>
                <w:rStyle w:val="126"/>
                <w:rFonts w:ascii="Arial" w:hAnsi="Arial" w:cs="Arial"/>
                <w:color w:val="000000"/>
                <w:sz w:val="20"/>
              </w:rPr>
              <w:t>një</w:t>
            </w:r>
            <w:r>
              <w:rPr>
                <w:rFonts w:ascii="Arial" w:hAnsi="Arial" w:cs="Arial"/>
                <w:color w:val="000000"/>
                <w:sz w:val="20"/>
              </w:rPr>
              <w:t xml:space="preserve"> </w:t>
            </w:r>
            <w:r>
              <w:rPr>
                <w:rStyle w:val="126"/>
                <w:rFonts w:ascii="Arial" w:hAnsi="Arial" w:cs="Arial"/>
                <w:color w:val="000000"/>
                <w:sz w:val="20"/>
              </w:rPr>
              <w:t>të Sigurim të konsiderueshme</w:t>
            </w:r>
            <w:r>
              <w:rPr>
                <w:rFonts w:ascii="Arial" w:hAnsi="Arial" w:cs="Arial"/>
                <w:color w:val="000000"/>
                <w:sz w:val="20"/>
              </w:rPr>
              <w:t xml:space="preserve"> </w:t>
            </w:r>
            <w:r>
              <w:rPr>
                <w:rStyle w:val="126"/>
                <w:rFonts w:ascii="Arial" w:hAnsi="Arial" w:cs="Arial"/>
                <w:color w:val="000000"/>
                <w:sz w:val="20"/>
              </w:rPr>
              <w:t>të përgjegjshëm të Tenderit, tenderi do</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refuzohen si tender</w:t>
            </w:r>
            <w:r>
              <w:rPr>
                <w:rFonts w:ascii="Arial" w:hAnsi="Arial" w:cs="Arial"/>
                <w:color w:val="000000"/>
                <w:sz w:val="20"/>
              </w:rPr>
              <w:t xml:space="preserve"> </w:t>
            </w:r>
            <w:r>
              <w:rPr>
                <w:rStyle w:val="126"/>
                <w:rFonts w:ascii="Arial" w:hAnsi="Arial" w:cs="Arial"/>
                <w:color w:val="000000"/>
                <w:sz w:val="20"/>
              </w:rPr>
              <w:t>i papërgjegjshëm</w:t>
            </w:r>
            <w:r>
              <w:rPr>
                <w:rFonts w:ascii="Arial" w:hAnsi="Arial" w:cs="Arial"/>
                <w:color w:val="000000"/>
                <w:sz w:val="20"/>
              </w:rPr>
              <w:t>.</w:t>
            </w:r>
          </w:p>
          <w:p w14:paraId="757156CE">
            <w:pPr>
              <w:spacing w:after="0"/>
              <w:rPr>
                <w:rFonts w:ascii="Arial" w:hAnsi="Arial" w:cs="Arial"/>
                <w:sz w:val="20"/>
              </w:rPr>
            </w:pPr>
          </w:p>
          <w:p w14:paraId="181C158C">
            <w:pPr>
              <w:spacing w:after="0"/>
              <w:rPr>
                <w:rFonts w:ascii="Arial" w:hAnsi="Arial" w:cs="Arial"/>
                <w:sz w:val="20"/>
              </w:rPr>
            </w:pPr>
            <w:r>
              <w:rPr>
                <w:rFonts w:ascii="Arial" w:hAnsi="Arial" w:cs="Arial"/>
                <w:sz w:val="20"/>
              </w:rPr>
              <w:t>13.4 Forma e sigurisë së tenderit është e specifikuar në Aneksin 4 të kësaj dosje të tenderit.</w:t>
            </w:r>
          </w:p>
          <w:p w14:paraId="08736751">
            <w:pPr>
              <w:spacing w:after="0"/>
              <w:rPr>
                <w:rFonts w:ascii="Arial" w:hAnsi="Arial" w:cs="Arial"/>
                <w:color w:val="000000"/>
                <w:sz w:val="20"/>
              </w:rPr>
            </w:pPr>
          </w:p>
          <w:p w14:paraId="4E4F3E87">
            <w:pPr>
              <w:tabs>
                <w:tab w:val="left" w:pos="-2160"/>
                <w:tab w:val="left" w:pos="-1980"/>
              </w:tabs>
              <w:autoSpaceDE w:val="0"/>
              <w:autoSpaceDN w:val="0"/>
              <w:adjustRightInd w:val="0"/>
              <w:spacing w:after="0"/>
              <w:rPr>
                <w:rFonts w:ascii="Arial" w:hAnsi="Arial" w:cs="Arial"/>
                <w:sz w:val="20"/>
              </w:rPr>
            </w:pPr>
            <w:r>
              <w:rPr>
                <w:rFonts w:ascii="Arial" w:hAnsi="Arial" w:cs="Arial"/>
                <w:color w:val="000000"/>
                <w:sz w:val="20"/>
              </w:rPr>
              <w:t>13.5</w:t>
            </w:r>
            <w:r>
              <w:rPr>
                <w:rFonts w:ascii="Arial" w:hAnsi="Arial" w:cs="Arial"/>
                <w:sz w:val="20"/>
              </w:rPr>
              <w:t xml:space="preserve"> Autoriteti kontraktues do ta kthej sigurinë e tenderit të depozituar brenda pesë (5) ditëve, pas ndodhjes së cilës do nga ngjarjet në vijim:</w:t>
            </w:r>
          </w:p>
          <w:p w14:paraId="511EB269">
            <w:pPr>
              <w:tabs>
                <w:tab w:val="left" w:pos="-2160"/>
                <w:tab w:val="left" w:pos="-1980"/>
              </w:tabs>
              <w:autoSpaceDE w:val="0"/>
              <w:autoSpaceDN w:val="0"/>
              <w:adjustRightInd w:val="0"/>
              <w:spacing w:after="0"/>
              <w:ind w:left="-180"/>
              <w:rPr>
                <w:rFonts w:ascii="Arial" w:hAnsi="Arial" w:cs="Arial"/>
                <w:sz w:val="20"/>
              </w:rPr>
            </w:pPr>
            <w:r>
              <w:rPr>
                <w:rFonts w:ascii="Arial" w:hAnsi="Arial" w:cs="Arial"/>
                <w:sz w:val="20"/>
              </w:rPr>
              <w:tab/>
            </w:r>
            <w:r>
              <w:rPr>
                <w:rFonts w:ascii="Arial" w:hAnsi="Arial" w:cs="Arial"/>
                <w:sz w:val="20"/>
              </w:rPr>
              <w:t xml:space="preserve">  a) skadimi i datës së vlefshmërisë së tenderit;</w:t>
            </w:r>
          </w:p>
          <w:p w14:paraId="21AF392B">
            <w:pPr>
              <w:tabs>
                <w:tab w:val="left" w:pos="-2160"/>
                <w:tab w:val="left" w:pos="-1980"/>
              </w:tabs>
              <w:autoSpaceDE w:val="0"/>
              <w:autoSpaceDN w:val="0"/>
              <w:adjustRightInd w:val="0"/>
              <w:spacing w:after="0"/>
              <w:rPr>
                <w:rFonts w:ascii="Arial" w:hAnsi="Arial" w:cs="Arial"/>
                <w:sz w:val="20"/>
              </w:rPr>
            </w:pPr>
            <w:r>
              <w:rPr>
                <w:rFonts w:ascii="Arial" w:hAnsi="Arial" w:cs="Arial"/>
                <w:sz w:val="20"/>
              </w:rPr>
              <w:t xml:space="preserve">b) dhënia dhe hyrja në fuqi e kontratës; </w:t>
            </w:r>
          </w:p>
          <w:p w14:paraId="5A30E3FC">
            <w:pPr>
              <w:tabs>
                <w:tab w:val="left" w:pos="-2160"/>
                <w:tab w:val="left" w:pos="-1980"/>
              </w:tabs>
              <w:autoSpaceDE w:val="0"/>
              <w:autoSpaceDN w:val="0"/>
              <w:adjustRightInd w:val="0"/>
              <w:spacing w:after="0"/>
              <w:rPr>
                <w:rFonts w:ascii="Arial" w:hAnsi="Arial" w:cs="Arial"/>
                <w:sz w:val="20"/>
              </w:rPr>
            </w:pPr>
            <w:r>
              <w:rPr>
                <w:rFonts w:ascii="Arial" w:hAnsi="Arial" w:cs="Arial"/>
                <w:sz w:val="20"/>
              </w:rPr>
              <w:t xml:space="preserve">c) anulimi ose përfundimi i aktivitetit të prokurimit para dhënies ose hyrjes në fuqi të kontratës; </w:t>
            </w:r>
          </w:p>
          <w:p w14:paraId="20A731AF">
            <w:pPr>
              <w:tabs>
                <w:tab w:val="left" w:pos="-2160"/>
                <w:tab w:val="left" w:pos="-1980"/>
              </w:tabs>
              <w:autoSpaceDE w:val="0"/>
              <w:autoSpaceDN w:val="0"/>
              <w:adjustRightInd w:val="0"/>
              <w:spacing w:after="0"/>
              <w:rPr>
                <w:rFonts w:ascii="Arial" w:hAnsi="Arial" w:cs="Arial"/>
                <w:color w:val="000000"/>
                <w:sz w:val="20"/>
              </w:rPr>
            </w:pPr>
            <w:r>
              <w:rPr>
                <w:rStyle w:val="126"/>
                <w:rFonts w:ascii="Arial" w:hAnsi="Arial" w:cs="Arial"/>
                <w:color w:val="000000"/>
                <w:sz w:val="20"/>
              </w:rPr>
              <w:t>d</w:t>
            </w:r>
            <w:r>
              <w:rPr>
                <w:rFonts w:ascii="Arial" w:hAnsi="Arial" w:cs="Arial"/>
                <w:color w:val="000000"/>
                <w:sz w:val="20"/>
              </w:rPr>
              <w:t xml:space="preserve">) </w:t>
            </w:r>
            <w:r>
              <w:rPr>
                <w:rStyle w:val="126"/>
                <w:rFonts w:ascii="Arial" w:hAnsi="Arial" w:cs="Arial"/>
                <w:color w:val="000000"/>
                <w:sz w:val="20"/>
              </w:rPr>
              <w:t>Me</w:t>
            </w:r>
            <w:r>
              <w:rPr>
                <w:rFonts w:ascii="Arial" w:hAnsi="Arial" w:cs="Arial"/>
                <w:color w:val="000000"/>
                <w:sz w:val="20"/>
              </w:rPr>
              <w:t xml:space="preserve"> </w:t>
            </w:r>
            <w:r>
              <w:rPr>
                <w:rStyle w:val="126"/>
                <w:rFonts w:ascii="Arial" w:hAnsi="Arial" w:cs="Arial"/>
                <w:color w:val="000000"/>
                <w:sz w:val="20"/>
              </w:rPr>
              <w:t>tërheqjen</w:t>
            </w:r>
            <w:r>
              <w:rPr>
                <w:rFonts w:ascii="Arial" w:hAnsi="Arial" w:cs="Arial"/>
                <w:color w:val="000000"/>
                <w:sz w:val="20"/>
              </w:rPr>
              <w:t xml:space="preserve"> </w:t>
            </w:r>
            <w:r>
              <w:rPr>
                <w:rStyle w:val="126"/>
                <w:rFonts w:ascii="Arial" w:hAnsi="Arial" w:cs="Arial"/>
                <w:color w:val="000000"/>
                <w:sz w:val="20"/>
              </w:rPr>
              <w:t>e tenderit</w:t>
            </w:r>
            <w:r>
              <w:rPr>
                <w:rFonts w:ascii="Arial" w:hAnsi="Arial" w:cs="Arial"/>
                <w:color w:val="000000"/>
                <w:sz w:val="20"/>
              </w:rPr>
              <w:t xml:space="preserve"> </w:t>
            </w:r>
            <w:r>
              <w:rPr>
                <w:rStyle w:val="126"/>
                <w:rFonts w:ascii="Arial" w:hAnsi="Arial" w:cs="Arial"/>
                <w:color w:val="000000"/>
                <w:sz w:val="20"/>
              </w:rPr>
              <w:t>para</w:t>
            </w:r>
            <w:r>
              <w:rPr>
                <w:rFonts w:ascii="Arial" w:hAnsi="Arial" w:cs="Arial"/>
                <w:color w:val="000000"/>
                <w:sz w:val="20"/>
              </w:rPr>
              <w:t xml:space="preserve"> </w:t>
            </w:r>
            <w:r>
              <w:rPr>
                <w:rStyle w:val="126"/>
                <w:rFonts w:ascii="Arial" w:hAnsi="Arial" w:cs="Arial"/>
                <w:color w:val="000000"/>
                <w:sz w:val="20"/>
              </w:rPr>
              <w:t>afatit të fundit</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dorëzimin</w:t>
            </w:r>
            <w:r>
              <w:rPr>
                <w:rFonts w:ascii="Arial" w:hAnsi="Arial" w:cs="Arial"/>
                <w:color w:val="000000"/>
                <w:sz w:val="20"/>
              </w:rPr>
              <w:t xml:space="preserve"> </w:t>
            </w:r>
            <w:r>
              <w:rPr>
                <w:rStyle w:val="126"/>
                <w:rFonts w:ascii="Arial" w:hAnsi="Arial" w:cs="Arial"/>
                <w:color w:val="000000"/>
                <w:sz w:val="20"/>
              </w:rPr>
              <w:t>e tenderit</w:t>
            </w:r>
            <w:r>
              <w:rPr>
                <w:rFonts w:ascii="Arial" w:hAnsi="Arial" w:cs="Arial"/>
                <w:color w:val="000000"/>
                <w:sz w:val="20"/>
              </w:rPr>
              <w:t xml:space="preserve">, përveç nëse </w:t>
            </w:r>
            <w:r>
              <w:rPr>
                <w:rStyle w:val="126"/>
                <w:rFonts w:ascii="Arial" w:hAnsi="Arial" w:cs="Arial"/>
                <w:color w:val="000000"/>
                <w:sz w:val="20"/>
              </w:rPr>
              <w:t>është e</w:t>
            </w:r>
            <w:r>
              <w:rPr>
                <w:rFonts w:ascii="Arial" w:hAnsi="Arial" w:cs="Arial"/>
                <w:color w:val="000000"/>
                <w:sz w:val="20"/>
              </w:rPr>
              <w:t xml:space="preserve"> </w:t>
            </w:r>
            <w:r>
              <w:rPr>
                <w:rStyle w:val="126"/>
                <w:rFonts w:ascii="Arial" w:hAnsi="Arial" w:cs="Arial"/>
                <w:color w:val="000000"/>
                <w:sz w:val="20"/>
              </w:rPr>
              <w:t>deklaruar</w:t>
            </w:r>
            <w:r>
              <w:rPr>
                <w:rFonts w:ascii="Arial" w:hAnsi="Arial" w:cs="Arial"/>
                <w:color w:val="000000"/>
                <w:sz w:val="20"/>
              </w:rPr>
              <w:t xml:space="preserve">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DT</w:t>
            </w:r>
            <w:r>
              <w:rPr>
                <w:rFonts w:ascii="Arial" w:hAnsi="Arial" w:cs="Arial"/>
                <w:color w:val="000000"/>
                <w:sz w:val="20"/>
              </w:rPr>
              <w:t xml:space="preserve">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nuk është e lejuar një tërheqje</w:t>
            </w:r>
            <w:r>
              <w:rPr>
                <w:rFonts w:ascii="Arial" w:hAnsi="Arial" w:cs="Arial"/>
                <w:color w:val="000000"/>
                <w:sz w:val="20"/>
              </w:rPr>
              <w:t xml:space="preserve"> </w:t>
            </w:r>
            <w:r>
              <w:rPr>
                <w:rStyle w:val="126"/>
                <w:rFonts w:ascii="Arial" w:hAnsi="Arial" w:cs="Arial"/>
                <w:color w:val="000000"/>
                <w:sz w:val="20"/>
              </w:rPr>
              <w:t>e tillë</w:t>
            </w:r>
            <w:r>
              <w:rPr>
                <w:rFonts w:ascii="Arial" w:hAnsi="Arial" w:cs="Arial"/>
                <w:color w:val="000000"/>
                <w:sz w:val="20"/>
              </w:rPr>
              <w:t>.</w:t>
            </w:r>
          </w:p>
          <w:p w14:paraId="4929D912">
            <w:pPr>
              <w:tabs>
                <w:tab w:val="left" w:pos="-2160"/>
                <w:tab w:val="left" w:pos="-1980"/>
              </w:tabs>
              <w:autoSpaceDE w:val="0"/>
              <w:autoSpaceDN w:val="0"/>
              <w:adjustRightInd w:val="0"/>
              <w:spacing w:after="0"/>
              <w:rPr>
                <w:rFonts w:ascii="Arial" w:hAnsi="Arial" w:cs="Arial"/>
                <w:color w:val="000000"/>
                <w:sz w:val="20"/>
              </w:rPr>
            </w:pPr>
          </w:p>
          <w:p w14:paraId="657960DA">
            <w:pPr>
              <w:tabs>
                <w:tab w:val="left" w:pos="-2160"/>
                <w:tab w:val="left" w:pos="-1980"/>
              </w:tabs>
              <w:autoSpaceDE w:val="0"/>
              <w:autoSpaceDN w:val="0"/>
              <w:adjustRightInd w:val="0"/>
              <w:spacing w:after="0"/>
              <w:rPr>
                <w:rFonts w:ascii="Arial" w:hAnsi="Arial" w:cs="Arial"/>
                <w:color w:val="000000"/>
                <w:sz w:val="20"/>
              </w:rPr>
            </w:pPr>
            <w:r>
              <w:rPr>
                <w:rFonts w:ascii="Arial" w:hAnsi="Arial" w:cs="Arial"/>
                <w:color w:val="000000"/>
                <w:sz w:val="20"/>
              </w:rPr>
              <w:t>13.6 Sigurimi i Tenderit mund të konfiskohet nëse:</w:t>
            </w:r>
          </w:p>
          <w:p w14:paraId="7C8578D0">
            <w:pPr>
              <w:tabs>
                <w:tab w:val="left" w:pos="-2160"/>
                <w:tab w:val="left" w:pos="-1980"/>
              </w:tabs>
              <w:autoSpaceDE w:val="0"/>
              <w:autoSpaceDN w:val="0"/>
              <w:adjustRightInd w:val="0"/>
              <w:spacing w:after="0"/>
              <w:rPr>
                <w:rFonts w:ascii="Arial" w:hAnsi="Arial" w:cs="Arial"/>
                <w:color w:val="000000"/>
                <w:sz w:val="20"/>
              </w:rPr>
            </w:pPr>
          </w:p>
          <w:p w14:paraId="2778B9CD">
            <w:pPr>
              <w:tabs>
                <w:tab w:val="left" w:pos="-2160"/>
                <w:tab w:val="left" w:pos="-1980"/>
              </w:tabs>
              <w:autoSpaceDE w:val="0"/>
              <w:autoSpaceDN w:val="0"/>
              <w:adjustRightInd w:val="0"/>
              <w:spacing w:after="0"/>
              <w:rPr>
                <w:rFonts w:ascii="Arial" w:hAnsi="Arial" w:cs="Arial"/>
                <w:color w:val="000000"/>
                <w:sz w:val="20"/>
              </w:rPr>
            </w:pPr>
            <w:r>
              <w:rPr>
                <w:rFonts w:ascii="Arial" w:hAnsi="Arial" w:cs="Arial"/>
                <w:color w:val="000000"/>
                <w:sz w:val="20"/>
              </w:rPr>
              <w:t>1. Autoriteti Kontraktues cakton që operatori Ekonomik ka dorëzuar informata të rrejshme apo mashtruese;</w:t>
            </w:r>
          </w:p>
          <w:p w14:paraId="5D7CB939">
            <w:pPr>
              <w:spacing w:after="0"/>
              <w:ind w:left="2205"/>
              <w:rPr>
                <w:rFonts w:ascii="Arial" w:hAnsi="Arial" w:cs="Arial"/>
                <w:color w:val="000000"/>
                <w:sz w:val="20"/>
              </w:rPr>
            </w:pPr>
          </w:p>
          <w:p w14:paraId="14DAB20D">
            <w:pPr>
              <w:spacing w:after="0"/>
              <w:rPr>
                <w:rFonts w:ascii="Arial" w:hAnsi="Arial" w:cs="Arial"/>
                <w:color w:val="000000"/>
                <w:sz w:val="20"/>
              </w:rPr>
            </w:pPr>
            <w:r>
              <w:rPr>
                <w:rFonts w:ascii="Arial" w:hAnsi="Arial" w:cs="Arial"/>
                <w:color w:val="000000"/>
                <w:sz w:val="20"/>
              </w:rPr>
              <w:t xml:space="preserve">2. Operatori Ekonomik e tërheq tenderin e tij pas datës së fundit </w:t>
            </w:r>
            <w:r>
              <w:rPr>
                <w:rStyle w:val="126"/>
                <w:rFonts w:ascii="Arial" w:hAnsi="Arial" w:cs="Arial"/>
                <w:color w:val="000000"/>
                <w:sz w:val="20"/>
              </w:rPr>
              <w:t>për dorëzimin</w:t>
            </w:r>
            <w:r>
              <w:rPr>
                <w:rFonts w:ascii="Arial" w:hAnsi="Arial" w:cs="Arial"/>
                <w:color w:val="000000"/>
                <w:sz w:val="20"/>
              </w:rPr>
              <w:t xml:space="preserve"> </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tenderëve</w:t>
            </w:r>
            <w:r>
              <w:rPr>
                <w:rFonts w:ascii="Arial" w:hAnsi="Arial" w:cs="Arial"/>
                <w:color w:val="000000"/>
                <w:sz w:val="20"/>
              </w:rPr>
              <w:t>,</w:t>
            </w:r>
            <w:r>
              <w:rPr>
                <w:rStyle w:val="126"/>
                <w:rFonts w:ascii="Arial" w:hAnsi="Arial" w:cs="Arial"/>
                <w:color w:val="000000"/>
                <w:sz w:val="20"/>
              </w:rPr>
              <w:t>por</w:t>
            </w:r>
            <w:r>
              <w:rPr>
                <w:rFonts w:ascii="Arial" w:hAnsi="Arial" w:cs="Arial"/>
                <w:color w:val="000000"/>
                <w:sz w:val="20"/>
              </w:rPr>
              <w:t xml:space="preserve"> </w:t>
            </w:r>
            <w:r>
              <w:rPr>
                <w:rStyle w:val="126"/>
                <w:rFonts w:ascii="Arial" w:hAnsi="Arial" w:cs="Arial"/>
                <w:color w:val="000000"/>
                <w:sz w:val="20"/>
              </w:rPr>
              <w:t>para skadimit</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 xml:space="preserve">periudhës së vlefshmërisë </w:t>
            </w:r>
            <w:r>
              <w:rPr>
                <w:rFonts w:ascii="Arial" w:hAnsi="Arial" w:cs="Arial"/>
                <w:color w:val="000000"/>
                <w:sz w:val="20"/>
              </w:rPr>
              <w:t>së tenderit dhe</w:t>
            </w:r>
          </w:p>
          <w:p w14:paraId="24ED573E">
            <w:pPr>
              <w:spacing w:after="0"/>
              <w:rPr>
                <w:rFonts w:ascii="Arial" w:hAnsi="Arial" w:cs="Arial"/>
                <w:color w:val="000000"/>
                <w:sz w:val="20"/>
              </w:rPr>
            </w:pPr>
            <w:r>
              <w:rPr>
                <w:rStyle w:val="126"/>
                <w:rFonts w:ascii="Arial" w:hAnsi="Arial" w:cs="Arial"/>
                <w:color w:val="000000"/>
                <w:sz w:val="20"/>
              </w:rPr>
              <w:t>3</w:t>
            </w:r>
            <w:r>
              <w:rPr>
                <w:rFonts w:ascii="Arial" w:hAnsi="Arial" w:cs="Arial"/>
                <w:color w:val="000000"/>
                <w:sz w:val="20"/>
              </w:rPr>
              <w:t xml:space="preserve">. </w:t>
            </w:r>
            <w:r>
              <w:rPr>
                <w:rStyle w:val="126"/>
                <w:rFonts w:ascii="Arial" w:hAnsi="Arial" w:cs="Arial"/>
                <w:color w:val="000000"/>
                <w:sz w:val="20"/>
              </w:rPr>
              <w:t>Operatorit Ekonomik</w:t>
            </w:r>
            <w:r>
              <w:rPr>
                <w:rFonts w:ascii="Arial" w:hAnsi="Arial" w:cs="Arial"/>
                <w:color w:val="000000"/>
                <w:sz w:val="20"/>
              </w:rPr>
              <w:t xml:space="preserve"> </w:t>
            </w:r>
            <w:r>
              <w:rPr>
                <w:rStyle w:val="126"/>
                <w:rFonts w:ascii="Arial" w:hAnsi="Arial" w:cs="Arial"/>
                <w:color w:val="000000"/>
                <w:sz w:val="20"/>
              </w:rPr>
              <w:t>i është dhënë</w:t>
            </w:r>
            <w:r>
              <w:rPr>
                <w:rFonts w:ascii="Arial" w:hAnsi="Arial" w:cs="Arial"/>
                <w:color w:val="000000"/>
                <w:sz w:val="20"/>
              </w:rPr>
              <w:t xml:space="preserve"> </w:t>
            </w:r>
            <w:r>
              <w:rPr>
                <w:rStyle w:val="126"/>
                <w:rFonts w:ascii="Arial" w:hAnsi="Arial" w:cs="Arial"/>
                <w:color w:val="000000"/>
                <w:sz w:val="20"/>
              </w:rPr>
              <w:t>kontrata</w:t>
            </w:r>
            <w:r>
              <w:rPr>
                <w:rFonts w:ascii="Arial" w:hAnsi="Arial" w:cs="Arial"/>
                <w:color w:val="000000"/>
                <w:sz w:val="20"/>
              </w:rPr>
              <w:t xml:space="preserve"> </w:t>
            </w:r>
            <w:r>
              <w:rPr>
                <w:rStyle w:val="126"/>
                <w:rFonts w:ascii="Arial" w:hAnsi="Arial" w:cs="Arial"/>
                <w:color w:val="000000"/>
                <w:sz w:val="20"/>
              </w:rPr>
              <w:t>por</w:t>
            </w:r>
            <w:r>
              <w:rPr>
                <w:rFonts w:ascii="Arial" w:hAnsi="Arial" w:cs="Arial"/>
                <w:color w:val="000000"/>
                <w:sz w:val="20"/>
              </w:rPr>
              <w:t xml:space="preserve"> </w:t>
            </w:r>
            <w:r>
              <w:rPr>
                <w:rStyle w:val="126"/>
                <w:rFonts w:ascii="Arial" w:hAnsi="Arial" w:cs="Arial"/>
                <w:color w:val="000000"/>
                <w:sz w:val="20"/>
              </w:rPr>
              <w:t>refuzon ose</w:t>
            </w:r>
            <w:r>
              <w:rPr>
                <w:rFonts w:ascii="Arial" w:hAnsi="Arial" w:cs="Arial"/>
                <w:color w:val="000000"/>
                <w:sz w:val="20"/>
              </w:rPr>
              <w:t xml:space="preserve"> </w:t>
            </w:r>
            <w:r>
              <w:rPr>
                <w:rStyle w:val="126"/>
                <w:rFonts w:ascii="Arial" w:hAnsi="Arial" w:cs="Arial"/>
                <w:color w:val="000000"/>
                <w:sz w:val="20"/>
              </w:rPr>
              <w:t>dështon</w:t>
            </w:r>
            <w:r>
              <w:rPr>
                <w:rFonts w:ascii="Arial" w:hAnsi="Arial" w:cs="Arial"/>
                <w:color w:val="000000"/>
                <w:sz w:val="20"/>
              </w:rPr>
              <w:t>:</w:t>
            </w:r>
          </w:p>
          <w:p w14:paraId="4038BA0B">
            <w:pPr>
              <w:spacing w:after="0"/>
              <w:rPr>
                <w:rStyle w:val="126"/>
                <w:rFonts w:ascii="Arial" w:hAnsi="Arial" w:cs="Arial"/>
                <w:color w:val="000000"/>
                <w:sz w:val="20"/>
              </w:rPr>
            </w:pPr>
            <w:r>
              <w:rPr>
                <w:rStyle w:val="126"/>
                <w:rFonts w:ascii="Arial" w:hAnsi="Arial" w:cs="Arial"/>
                <w:color w:val="000000"/>
                <w:sz w:val="20"/>
              </w:rPr>
              <w:t xml:space="preserve">a) </w:t>
            </w:r>
            <w:r>
              <w:rPr>
                <w:rFonts w:ascii="Arial" w:hAnsi="Arial" w:cs="Arial"/>
                <w:sz w:val="20"/>
              </w:rPr>
              <w:t>që të depozitojë sigurinë e ekzekutimit</w:t>
            </w:r>
            <w:r>
              <w:rPr>
                <w:rFonts w:ascii="Arial" w:hAnsi="Arial" w:cs="Arial"/>
                <w:color w:val="000000"/>
                <w:sz w:val="20"/>
              </w:rPr>
              <w:t>;</w:t>
            </w:r>
          </w:p>
          <w:p w14:paraId="5B460DA3">
            <w:pPr>
              <w:spacing w:after="0"/>
              <w:rPr>
                <w:rFonts w:ascii="Arial" w:hAnsi="Arial" w:cs="Arial"/>
                <w:color w:val="000000"/>
                <w:sz w:val="20"/>
              </w:rPr>
            </w:pPr>
            <w:r>
              <w:rPr>
                <w:rStyle w:val="126"/>
                <w:rFonts w:ascii="Arial" w:hAnsi="Arial" w:cs="Arial"/>
                <w:color w:val="000000"/>
                <w:sz w:val="20"/>
              </w:rPr>
              <w:t>b) t</w:t>
            </w:r>
            <w:r>
              <w:rPr>
                <w:rFonts w:ascii="Arial" w:hAnsi="Arial" w:cs="Arial"/>
                <w:sz w:val="20"/>
              </w:rPr>
              <w:t>ë plotësojë të gjitha kushtet që i paraprijnë nënshkrimit të kontratës</w:t>
            </w:r>
            <w:r>
              <w:rPr>
                <w:rFonts w:ascii="Arial" w:hAnsi="Arial" w:cs="Arial"/>
                <w:color w:val="000000"/>
                <w:sz w:val="20"/>
              </w:rPr>
              <w:t xml:space="preserve">; ose </w:t>
            </w:r>
          </w:p>
          <w:p w14:paraId="298617A8">
            <w:pPr>
              <w:pStyle w:val="109"/>
              <w:spacing w:before="0" w:after="0"/>
              <w:rPr>
                <w:rStyle w:val="126"/>
                <w:rFonts w:ascii="Arial" w:hAnsi="Arial" w:cs="Arial"/>
                <w:color w:val="000000"/>
                <w:sz w:val="20"/>
                <w:lang w:val="sq-AL"/>
              </w:rPr>
            </w:pPr>
            <w:r>
              <w:rPr>
                <w:rFonts w:ascii="Arial" w:hAnsi="Arial" w:cs="Arial"/>
                <w:color w:val="000000"/>
                <w:sz w:val="20"/>
                <w:lang w:val="sq-AL"/>
              </w:rPr>
              <w:t>c) q</w:t>
            </w:r>
            <w:r>
              <w:rPr>
                <w:rStyle w:val="126"/>
                <w:rFonts w:ascii="Arial" w:hAnsi="Arial" w:cs="Arial"/>
                <w:color w:val="000000"/>
                <w:sz w:val="20"/>
                <w:lang w:val="sq-AL"/>
              </w:rPr>
              <w:t>ë</w:t>
            </w:r>
            <w:r>
              <w:rPr>
                <w:rFonts w:ascii="Arial" w:hAnsi="Arial" w:cs="Arial"/>
                <w:color w:val="000000"/>
                <w:sz w:val="20"/>
                <w:lang w:val="sq-AL"/>
              </w:rPr>
              <w:t xml:space="preserve">  të zbatoj</w:t>
            </w:r>
            <w:r>
              <w:rPr>
                <w:rStyle w:val="126"/>
                <w:rFonts w:ascii="Arial" w:hAnsi="Arial" w:cs="Arial"/>
                <w:color w:val="000000"/>
                <w:sz w:val="20"/>
                <w:lang w:val="sq-AL"/>
              </w:rPr>
              <w:t xml:space="preserve"> kontratën.</w:t>
            </w:r>
          </w:p>
          <w:p w14:paraId="18466206">
            <w:pPr>
              <w:pStyle w:val="109"/>
              <w:spacing w:before="0" w:after="0"/>
              <w:rPr>
                <w:rFonts w:ascii="Arial" w:hAnsi="Arial" w:cs="Arial"/>
                <w:spacing w:val="0"/>
                <w:sz w:val="20"/>
                <w:lang w:val="sq-AL"/>
              </w:rPr>
            </w:pPr>
          </w:p>
        </w:tc>
      </w:tr>
      <w:tr w14:paraId="2F990BCE">
        <w:tblPrEx>
          <w:tblCellMar>
            <w:top w:w="0" w:type="dxa"/>
            <w:left w:w="108" w:type="dxa"/>
            <w:bottom w:w="0" w:type="dxa"/>
            <w:right w:w="108" w:type="dxa"/>
          </w:tblCellMar>
        </w:tblPrEx>
        <w:trPr>
          <w:jc w:val="center"/>
        </w:trPr>
        <w:tc>
          <w:tcPr>
            <w:tcW w:w="2120" w:type="dxa"/>
          </w:tcPr>
          <w:p w14:paraId="1846DBBF">
            <w:pPr>
              <w:pStyle w:val="112"/>
              <w:spacing w:before="0" w:after="200"/>
              <w:rPr>
                <w:rFonts w:ascii="Arial" w:hAnsi="Arial" w:cs="Arial"/>
                <w:sz w:val="20"/>
                <w:lang w:val="sq-AL"/>
              </w:rPr>
            </w:pPr>
            <w:bookmarkStart w:id="27" w:name="_Toc61936884"/>
            <w:r>
              <w:rPr>
                <w:rFonts w:ascii="Arial" w:hAnsi="Arial" w:cs="Arial"/>
                <w:sz w:val="20"/>
                <w:lang w:val="sq-AL"/>
              </w:rPr>
              <w:t>14. Siguria e Ekzekutimit</w:t>
            </w:r>
          </w:p>
          <w:bookmarkEnd w:id="27"/>
          <w:p w14:paraId="7168FD5C">
            <w:pPr>
              <w:pStyle w:val="112"/>
              <w:spacing w:before="0" w:after="200"/>
              <w:rPr>
                <w:rFonts w:ascii="Arial" w:hAnsi="Arial" w:cs="Arial"/>
                <w:sz w:val="20"/>
                <w:lang w:val="sq-AL"/>
              </w:rPr>
            </w:pPr>
          </w:p>
        </w:tc>
        <w:tc>
          <w:tcPr>
            <w:tcW w:w="6405" w:type="dxa"/>
          </w:tcPr>
          <w:p w14:paraId="63CC9D7E">
            <w:pPr>
              <w:spacing w:after="0"/>
              <w:ind w:left="6"/>
              <w:rPr>
                <w:rFonts w:ascii="Arial" w:hAnsi="Arial" w:cs="Arial"/>
                <w:color w:val="000000"/>
                <w:sz w:val="20"/>
                <w:lang w:eastAsia="en-US"/>
              </w:rPr>
            </w:pPr>
            <w:r>
              <w:rPr>
                <w:rFonts w:ascii="Arial" w:hAnsi="Arial" w:cs="Arial"/>
                <w:sz w:val="20"/>
              </w:rPr>
              <w:t>1</w:t>
            </w:r>
            <w:r>
              <w:rPr>
                <w:rFonts w:ascii="Arial" w:hAnsi="Arial" w:cs="Arial"/>
                <w:color w:val="000000"/>
                <w:sz w:val="20"/>
                <w:lang w:eastAsia="en-US"/>
              </w:rPr>
              <w:t xml:space="preserve">4.1 </w:t>
            </w:r>
            <w:r>
              <w:rPr>
                <w:rFonts w:ascii="Arial" w:hAnsi="Arial" w:cs="Arial"/>
                <w:b/>
                <w:color w:val="000000"/>
                <w:sz w:val="20"/>
                <w:lang w:eastAsia="en-US"/>
              </w:rPr>
              <w:t>Në qoftë se është cekur në FDT</w:t>
            </w:r>
            <w:r>
              <w:rPr>
                <w:rFonts w:ascii="Arial" w:hAnsi="Arial" w:cs="Arial"/>
                <w:color w:val="000000"/>
                <w:sz w:val="20"/>
                <w:lang w:eastAsia="en-US"/>
              </w:rPr>
              <w:t>, para nënshkrimit të Kontratës, tenderuesi i suksesshëm, do t’i dorëzoj Autoritetit Kontraktues një S</w:t>
            </w:r>
            <w:r>
              <w:rPr>
                <w:rFonts w:ascii="Arial" w:hAnsi="Arial" w:cs="Arial"/>
                <w:sz w:val="20"/>
              </w:rPr>
              <w:t>igurim të Ekzekutimit.</w:t>
            </w:r>
          </w:p>
          <w:p w14:paraId="3BC2DA58">
            <w:pPr>
              <w:spacing w:after="0"/>
              <w:rPr>
                <w:rFonts w:ascii="Arial" w:hAnsi="Arial" w:cs="Arial"/>
                <w:sz w:val="20"/>
              </w:rPr>
            </w:pPr>
          </w:p>
          <w:p w14:paraId="3D3F2734">
            <w:pPr>
              <w:spacing w:after="0"/>
              <w:rPr>
                <w:rStyle w:val="126"/>
                <w:rFonts w:ascii="Arial" w:hAnsi="Arial" w:cs="Arial"/>
                <w:sz w:val="20"/>
              </w:rPr>
            </w:pPr>
            <w:r>
              <w:rPr>
                <w:rFonts w:ascii="Arial" w:hAnsi="Arial" w:cs="Arial"/>
                <w:sz w:val="20"/>
              </w:rPr>
              <w:t xml:space="preserve">14.2  Sigurimi i ekzekutimit duhet të jetë në vlerën dhe për një periudhë valide </w:t>
            </w:r>
            <w:r>
              <w:rPr>
                <w:rFonts w:ascii="Arial" w:hAnsi="Arial" w:cs="Arial"/>
                <w:b/>
                <w:color w:val="000000"/>
                <w:sz w:val="20"/>
              </w:rPr>
              <w:t xml:space="preserve">siç </w:t>
            </w:r>
            <w:r>
              <w:rPr>
                <w:rStyle w:val="126"/>
                <w:rFonts w:ascii="Arial" w:hAnsi="Arial" w:cs="Arial"/>
                <w:b/>
                <w:color w:val="000000"/>
                <w:sz w:val="20"/>
              </w:rPr>
              <w:t>është shënuar në</w:t>
            </w:r>
            <w:r>
              <w:rPr>
                <w:rFonts w:ascii="Arial" w:hAnsi="Arial" w:cs="Arial"/>
                <w:b/>
                <w:color w:val="000000"/>
                <w:sz w:val="20"/>
              </w:rPr>
              <w:t xml:space="preserve"> </w:t>
            </w:r>
            <w:r>
              <w:rPr>
                <w:rStyle w:val="126"/>
                <w:rFonts w:ascii="Arial" w:hAnsi="Arial" w:cs="Arial"/>
                <w:b/>
                <w:color w:val="000000"/>
                <w:sz w:val="20"/>
              </w:rPr>
              <w:t>FDT.</w:t>
            </w:r>
          </w:p>
          <w:p w14:paraId="3ACFC970">
            <w:pPr>
              <w:spacing w:after="0"/>
              <w:rPr>
                <w:rStyle w:val="126"/>
                <w:rFonts w:ascii="Arial" w:hAnsi="Arial" w:cs="Arial"/>
                <w:b/>
                <w:color w:val="000000"/>
                <w:sz w:val="20"/>
              </w:rPr>
            </w:pPr>
          </w:p>
          <w:p w14:paraId="506F9578">
            <w:pPr>
              <w:spacing w:after="0"/>
              <w:rPr>
                <w:rStyle w:val="126"/>
                <w:rFonts w:ascii="Arial" w:hAnsi="Arial" w:cs="Arial"/>
                <w:color w:val="000000"/>
                <w:sz w:val="20"/>
              </w:rPr>
            </w:pPr>
            <w:r>
              <w:rPr>
                <w:rStyle w:val="126"/>
                <w:rFonts w:ascii="Arial" w:hAnsi="Arial" w:cs="Arial"/>
                <w:color w:val="000000"/>
                <w:sz w:val="20"/>
              </w:rPr>
              <w:t>14.3 Forma e Sigurisë së Ekzekutimit është e specifikuar në Pjesën      B, Seksioni IV.</w:t>
            </w:r>
          </w:p>
          <w:p w14:paraId="63C5F6E1">
            <w:pPr>
              <w:spacing w:after="0"/>
              <w:ind w:left="2550" w:hanging="340"/>
              <w:rPr>
                <w:rStyle w:val="126"/>
                <w:rFonts w:ascii="Arial" w:hAnsi="Arial" w:cs="Arial"/>
                <w:color w:val="000000"/>
                <w:sz w:val="20"/>
              </w:rPr>
            </w:pPr>
          </w:p>
          <w:p w14:paraId="3C9D1138">
            <w:pPr>
              <w:spacing w:after="0"/>
              <w:rPr>
                <w:rStyle w:val="126"/>
                <w:rFonts w:ascii="Arial" w:hAnsi="Arial" w:cs="Arial"/>
                <w:color w:val="000000"/>
                <w:sz w:val="20"/>
              </w:rPr>
            </w:pPr>
            <w:r>
              <w:rPr>
                <w:rStyle w:val="126"/>
                <w:rFonts w:ascii="Arial" w:hAnsi="Arial" w:cs="Arial"/>
                <w:color w:val="000000"/>
                <w:sz w:val="20"/>
              </w:rPr>
              <w:t>14.4 Siguria e ekzekutimit</w:t>
            </w:r>
            <w:r>
              <w:rPr>
                <w:rFonts w:ascii="Arial" w:hAnsi="Arial" w:cs="Arial"/>
                <w:color w:val="000000"/>
                <w:sz w:val="20"/>
              </w:rPr>
              <w:t xml:space="preserve"> </w:t>
            </w:r>
            <w:r>
              <w:rPr>
                <w:rStyle w:val="126"/>
                <w:rFonts w:ascii="Arial" w:hAnsi="Arial" w:cs="Arial"/>
                <w:color w:val="000000"/>
                <w:sz w:val="20"/>
              </w:rPr>
              <w:t>mund të depozitohet në</w:t>
            </w:r>
            <w:r>
              <w:rPr>
                <w:rFonts w:ascii="Arial" w:hAnsi="Arial" w:cs="Arial"/>
                <w:color w:val="000000"/>
                <w:sz w:val="20"/>
              </w:rPr>
              <w:t xml:space="preserve"> </w:t>
            </w:r>
            <w:r>
              <w:rPr>
                <w:rStyle w:val="126"/>
                <w:rFonts w:ascii="Arial" w:hAnsi="Arial" w:cs="Arial"/>
                <w:color w:val="000000"/>
                <w:sz w:val="20"/>
              </w:rPr>
              <w:t>njërën nga format e</w:t>
            </w:r>
            <w:r>
              <w:rPr>
                <w:rFonts w:ascii="Arial" w:hAnsi="Arial" w:cs="Arial"/>
                <w:color w:val="000000"/>
                <w:sz w:val="20"/>
              </w:rPr>
              <w:t xml:space="preserve">  cekura p</w:t>
            </w:r>
            <w:r>
              <w:rPr>
                <w:rStyle w:val="126"/>
                <w:rFonts w:ascii="Arial" w:hAnsi="Arial" w:cs="Arial"/>
                <w:color w:val="000000"/>
                <w:sz w:val="20"/>
              </w:rPr>
              <w:t>ër</w:t>
            </w:r>
            <w:r>
              <w:rPr>
                <w:rFonts w:ascii="Arial" w:hAnsi="Arial" w:cs="Arial"/>
                <w:color w:val="000000"/>
                <w:sz w:val="20"/>
              </w:rPr>
              <w:t xml:space="preserve"> </w:t>
            </w:r>
            <w:r>
              <w:rPr>
                <w:rStyle w:val="126"/>
                <w:rFonts w:ascii="Arial" w:hAnsi="Arial" w:cs="Arial"/>
                <w:color w:val="000000"/>
                <w:sz w:val="20"/>
              </w:rPr>
              <w:t>Sigurimin e</w:t>
            </w:r>
            <w:r>
              <w:rPr>
                <w:rFonts w:ascii="Arial" w:hAnsi="Arial" w:cs="Arial"/>
                <w:color w:val="000000"/>
                <w:sz w:val="20"/>
              </w:rPr>
              <w:t xml:space="preserve"> </w:t>
            </w:r>
            <w:r>
              <w:rPr>
                <w:rStyle w:val="126"/>
                <w:rFonts w:ascii="Arial" w:hAnsi="Arial" w:cs="Arial"/>
                <w:color w:val="000000"/>
                <w:sz w:val="20"/>
              </w:rPr>
              <w:t>tenderit</w:t>
            </w:r>
            <w:r>
              <w:rPr>
                <w:rFonts w:ascii="Arial" w:hAnsi="Arial" w:cs="Arial"/>
                <w:color w:val="000000"/>
                <w:sz w:val="20"/>
              </w:rPr>
              <w:t>.</w:t>
            </w:r>
            <w:r>
              <w:rPr>
                <w:rStyle w:val="126"/>
                <w:rFonts w:ascii="Arial" w:hAnsi="Arial" w:cs="Arial"/>
                <w:color w:val="000000"/>
                <w:sz w:val="20"/>
              </w:rPr>
              <w:t xml:space="preserve"> </w:t>
            </w:r>
          </w:p>
          <w:p w14:paraId="70AA785E">
            <w:pPr>
              <w:spacing w:after="0"/>
              <w:ind w:left="2550" w:hanging="340"/>
              <w:rPr>
                <w:rStyle w:val="126"/>
                <w:rFonts w:ascii="Arial" w:hAnsi="Arial" w:cs="Arial"/>
                <w:color w:val="000000"/>
                <w:sz w:val="20"/>
              </w:rPr>
            </w:pPr>
          </w:p>
          <w:p w14:paraId="56D8A4FC">
            <w:pPr>
              <w:spacing w:after="0"/>
              <w:rPr>
                <w:rFonts w:ascii="Arial" w:hAnsi="Arial" w:cs="Arial"/>
                <w:color w:val="000000"/>
                <w:sz w:val="20"/>
              </w:rPr>
            </w:pPr>
            <w:r>
              <w:rPr>
                <w:rStyle w:val="126"/>
                <w:rFonts w:ascii="Arial" w:hAnsi="Arial" w:cs="Arial"/>
                <w:color w:val="000000"/>
                <w:sz w:val="20"/>
              </w:rPr>
              <w:t>14.5 Dështimi</w:t>
            </w:r>
            <w:r>
              <w:rPr>
                <w:rFonts w:ascii="Arial" w:hAnsi="Arial" w:cs="Arial"/>
                <w:color w:val="000000"/>
                <w:sz w:val="20"/>
              </w:rPr>
              <w:t xml:space="preserve"> </w:t>
            </w:r>
            <w:r>
              <w:rPr>
                <w:rStyle w:val="126"/>
                <w:rFonts w:ascii="Arial" w:hAnsi="Arial" w:cs="Arial"/>
                <w:color w:val="000000"/>
                <w:sz w:val="20"/>
              </w:rPr>
              <w:t>i</w:t>
            </w:r>
            <w:r>
              <w:rPr>
                <w:rFonts w:ascii="Arial" w:hAnsi="Arial" w:cs="Arial"/>
                <w:color w:val="000000"/>
                <w:sz w:val="20"/>
              </w:rPr>
              <w:t xml:space="preserve"> </w:t>
            </w:r>
            <w:r>
              <w:rPr>
                <w:rStyle w:val="126"/>
                <w:rFonts w:ascii="Arial" w:hAnsi="Arial" w:cs="Arial"/>
                <w:color w:val="000000"/>
                <w:sz w:val="20"/>
              </w:rPr>
              <w:t>Operatorit</w:t>
            </w:r>
            <w:r>
              <w:rPr>
                <w:rFonts w:ascii="Arial" w:hAnsi="Arial" w:cs="Arial"/>
                <w:color w:val="000000"/>
                <w:sz w:val="20"/>
              </w:rPr>
              <w:t xml:space="preserve"> </w:t>
            </w:r>
            <w:r>
              <w:rPr>
                <w:rStyle w:val="126"/>
                <w:rFonts w:ascii="Arial" w:hAnsi="Arial" w:cs="Arial"/>
                <w:color w:val="000000"/>
                <w:sz w:val="20"/>
              </w:rPr>
              <w:t>të suksesshëm</w:t>
            </w:r>
            <w:r>
              <w:rPr>
                <w:rFonts w:ascii="Arial" w:hAnsi="Arial" w:cs="Arial"/>
                <w:color w:val="000000"/>
                <w:sz w:val="20"/>
              </w:rPr>
              <w:t xml:space="preserve"> </w:t>
            </w:r>
            <w:r>
              <w:rPr>
                <w:rStyle w:val="126"/>
                <w:rFonts w:ascii="Arial" w:hAnsi="Arial" w:cs="Arial"/>
                <w:color w:val="000000"/>
                <w:sz w:val="20"/>
              </w:rPr>
              <w:t>Ekonomik</w:t>
            </w:r>
            <w:r>
              <w:rPr>
                <w:rFonts w:ascii="Arial" w:hAnsi="Arial" w:cs="Arial"/>
                <w:color w:val="000000"/>
                <w:sz w:val="20"/>
              </w:rPr>
              <w:t xml:space="preserve"> </w:t>
            </w:r>
            <w:r>
              <w:rPr>
                <w:rStyle w:val="126"/>
                <w:rFonts w:ascii="Arial" w:hAnsi="Arial" w:cs="Arial"/>
                <w:color w:val="000000"/>
                <w:sz w:val="20"/>
              </w:rPr>
              <w:t>për të</w:t>
            </w:r>
            <w:r>
              <w:rPr>
                <w:rFonts w:ascii="Arial" w:hAnsi="Arial" w:cs="Arial"/>
                <w:color w:val="000000"/>
                <w:sz w:val="20"/>
              </w:rPr>
              <w:t xml:space="preserve"> dorëzuar Sigurinë e Ekzekutimit të</w:t>
            </w:r>
            <w:r>
              <w:rPr>
                <w:rStyle w:val="126"/>
                <w:rFonts w:ascii="Arial" w:hAnsi="Arial" w:cs="Arial"/>
                <w:color w:val="000000"/>
                <w:sz w:val="20"/>
              </w:rPr>
              <w:t xml:space="preserve"> lart</w:t>
            </w:r>
            <w:r>
              <w:rPr>
                <w:rStyle w:val="213"/>
                <w:rFonts w:ascii="Arial" w:hAnsi="Arial" w:cs="Arial"/>
                <w:color w:val="000000"/>
                <w:sz w:val="20"/>
              </w:rPr>
              <w:t>-</w:t>
            </w:r>
            <w:r>
              <w:rPr>
                <w:rFonts w:ascii="Arial" w:hAnsi="Arial" w:cs="Arial"/>
                <w:color w:val="000000"/>
                <w:sz w:val="20"/>
              </w:rPr>
              <w:t xml:space="preserve">përmendur </w:t>
            </w:r>
            <w:r>
              <w:rPr>
                <w:rStyle w:val="126"/>
                <w:rFonts w:ascii="Arial" w:hAnsi="Arial" w:cs="Arial"/>
                <w:color w:val="000000"/>
                <w:sz w:val="20"/>
              </w:rPr>
              <w:t>ose</w:t>
            </w:r>
            <w:r>
              <w:rPr>
                <w:rFonts w:ascii="Arial" w:hAnsi="Arial" w:cs="Arial"/>
                <w:color w:val="000000"/>
                <w:sz w:val="20"/>
              </w:rPr>
              <w:t xml:space="preserve"> </w:t>
            </w:r>
            <w:r>
              <w:rPr>
                <w:rStyle w:val="126"/>
                <w:rFonts w:ascii="Arial" w:hAnsi="Arial" w:cs="Arial"/>
                <w:color w:val="000000"/>
                <w:sz w:val="20"/>
              </w:rPr>
              <w:t>nënshkrimit të Kontratës, do</w:t>
            </w:r>
            <w:r>
              <w:rPr>
                <w:rFonts w:ascii="Arial" w:hAnsi="Arial" w:cs="Arial"/>
                <w:color w:val="000000"/>
                <w:sz w:val="20"/>
              </w:rPr>
              <w:t xml:space="preserve"> </w:t>
            </w:r>
            <w:r>
              <w:rPr>
                <w:rStyle w:val="126"/>
                <w:rFonts w:ascii="Arial" w:hAnsi="Arial" w:cs="Arial"/>
                <w:color w:val="000000"/>
                <w:sz w:val="20"/>
              </w:rPr>
              <w:t>të përbëjnë</w:t>
            </w:r>
            <w:r>
              <w:rPr>
                <w:rFonts w:ascii="Arial" w:hAnsi="Arial" w:cs="Arial"/>
                <w:color w:val="000000"/>
                <w:sz w:val="20"/>
              </w:rPr>
              <w:t xml:space="preserve"> </w:t>
            </w:r>
            <w:r>
              <w:rPr>
                <w:rStyle w:val="126"/>
                <w:rFonts w:ascii="Arial" w:hAnsi="Arial" w:cs="Arial"/>
                <w:color w:val="000000"/>
                <w:sz w:val="20"/>
              </w:rPr>
              <w:t>arsye</w:t>
            </w:r>
            <w:r>
              <w:rPr>
                <w:rFonts w:ascii="Arial" w:hAnsi="Arial" w:cs="Arial"/>
                <w:color w:val="000000"/>
                <w:sz w:val="20"/>
              </w:rPr>
              <w:t xml:space="preserve"> </w:t>
            </w:r>
            <w:r>
              <w:rPr>
                <w:rStyle w:val="126"/>
                <w:rFonts w:ascii="Arial" w:hAnsi="Arial" w:cs="Arial"/>
                <w:color w:val="000000"/>
                <w:sz w:val="20"/>
              </w:rPr>
              <w:t>të mjaftueshme</w:t>
            </w:r>
            <w:r>
              <w:rPr>
                <w:rFonts w:ascii="Arial" w:hAnsi="Arial" w:cs="Arial"/>
                <w:color w:val="000000"/>
                <w:sz w:val="20"/>
              </w:rPr>
              <w:t xml:space="preserve"> </w:t>
            </w:r>
            <w:r>
              <w:rPr>
                <w:rStyle w:val="126"/>
                <w:rFonts w:ascii="Arial" w:hAnsi="Arial" w:cs="Arial"/>
                <w:color w:val="000000"/>
                <w:sz w:val="20"/>
              </w:rPr>
              <w:t>për anulimin</w:t>
            </w:r>
            <w:r>
              <w:rPr>
                <w:rFonts w:ascii="Arial" w:hAnsi="Arial" w:cs="Arial"/>
                <w:color w:val="000000"/>
                <w:sz w:val="20"/>
              </w:rPr>
              <w:t xml:space="preserve"> </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dh</w:t>
            </w:r>
            <w:r>
              <w:rPr>
                <w:rFonts w:ascii="Arial" w:hAnsi="Arial" w:cs="Arial"/>
                <w:color w:val="000000"/>
                <w:sz w:val="20"/>
              </w:rPr>
              <w:t xml:space="preserve">ënies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konfiskimin</w:t>
            </w:r>
            <w:r>
              <w:rPr>
                <w:rFonts w:ascii="Arial" w:hAnsi="Arial" w:cs="Arial"/>
                <w:color w:val="000000"/>
                <w:sz w:val="20"/>
              </w:rPr>
              <w:t xml:space="preserve"> </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sigurisë së tenderit</w:t>
            </w:r>
            <w:r>
              <w:rPr>
                <w:rFonts w:ascii="Arial" w:hAnsi="Arial" w:cs="Arial"/>
                <w:color w:val="000000"/>
                <w:sz w:val="20"/>
              </w:rPr>
              <w:t>.</w:t>
            </w:r>
          </w:p>
          <w:p w14:paraId="503E34AF">
            <w:pPr>
              <w:spacing w:after="0"/>
              <w:rPr>
                <w:rFonts w:ascii="Arial" w:hAnsi="Arial" w:cs="Arial"/>
                <w:color w:val="000000"/>
                <w:sz w:val="20"/>
              </w:rPr>
            </w:pPr>
          </w:p>
          <w:p w14:paraId="7D77EEF1">
            <w:pPr>
              <w:pStyle w:val="109"/>
              <w:spacing w:before="0" w:after="0"/>
              <w:rPr>
                <w:rFonts w:ascii="Arial" w:hAnsi="Arial" w:cs="Arial"/>
                <w:color w:val="000000"/>
                <w:sz w:val="20"/>
                <w:lang w:val="sq-AL"/>
              </w:rPr>
            </w:pPr>
            <w:r>
              <w:rPr>
                <w:rFonts w:ascii="Arial" w:hAnsi="Arial" w:cs="Arial"/>
                <w:color w:val="000000"/>
                <w:sz w:val="20"/>
                <w:lang w:val="sq-AL"/>
              </w:rPr>
              <w:t>14.6 Sigurimit i Ekzekutimit do të konfiskohet në rast të:</w:t>
            </w:r>
          </w:p>
          <w:p w14:paraId="7D169DCA">
            <w:pPr>
              <w:spacing w:after="0"/>
              <w:textAlignment w:val="top"/>
              <w:rPr>
                <w:rFonts w:ascii="Arial" w:hAnsi="Arial" w:cs="Arial"/>
                <w:color w:val="000000"/>
                <w:sz w:val="20"/>
                <w:lang w:eastAsia="en-US"/>
              </w:rPr>
            </w:pPr>
            <w:r>
              <w:rPr>
                <w:rFonts w:ascii="Arial" w:hAnsi="Arial" w:cs="Arial"/>
                <w:color w:val="000000"/>
                <w:sz w:val="20"/>
                <w:lang w:eastAsia="en-US"/>
              </w:rPr>
              <w:t xml:space="preserve">a) </w:t>
            </w:r>
            <w:r>
              <w:rPr>
                <w:rFonts w:ascii="Arial" w:hAnsi="Arial" w:cs="Arial"/>
                <w:color w:val="000000"/>
                <w:sz w:val="20"/>
              </w:rPr>
              <w:t>shkelj</w:t>
            </w:r>
            <w:r>
              <w:rPr>
                <w:rStyle w:val="126"/>
                <w:rFonts w:ascii="Arial" w:hAnsi="Arial" w:cs="Arial"/>
                <w:color w:val="000000"/>
                <w:sz w:val="20"/>
              </w:rPr>
              <w:t>es</w:t>
            </w:r>
            <w:r>
              <w:rPr>
                <w:rFonts w:ascii="Arial" w:hAnsi="Arial" w:cs="Arial"/>
                <w:color w:val="000000"/>
                <w:sz w:val="20"/>
                <w:lang w:eastAsia="en-US"/>
              </w:rPr>
              <w:t xml:space="preserve"> së kontratës së nënshkruar, e cila </w:t>
            </w:r>
            <w:r>
              <w:rPr>
                <w:rFonts w:ascii="Arial" w:hAnsi="Arial" w:cs="Arial"/>
                <w:color w:val="000000"/>
                <w:sz w:val="20"/>
              </w:rPr>
              <w:t xml:space="preserve">i </w:t>
            </w:r>
            <w:r>
              <w:rPr>
                <w:rFonts w:ascii="Arial" w:hAnsi="Arial" w:cs="Arial"/>
                <w:color w:val="000000"/>
                <w:sz w:val="20"/>
                <w:lang w:eastAsia="en-US"/>
              </w:rPr>
              <w:t>shkakton dëme materiale autoritetit kontraktues dhe/ose kërkon nga autoriteti kontraktues të bëjë shpenzime materiale për përfundimin e kontratës në fjalë, dhe</w:t>
            </w:r>
          </w:p>
          <w:p w14:paraId="67B05387">
            <w:pPr>
              <w:spacing w:after="0"/>
              <w:textAlignment w:val="top"/>
              <w:rPr>
                <w:rFonts w:ascii="Arial" w:hAnsi="Arial" w:cs="Arial"/>
                <w:color w:val="000000"/>
                <w:sz w:val="20"/>
                <w:lang w:eastAsia="en-US"/>
              </w:rPr>
            </w:pPr>
            <w:r>
              <w:rPr>
                <w:rFonts w:ascii="Arial" w:hAnsi="Arial" w:cs="Arial"/>
                <w:color w:val="000000"/>
                <w:sz w:val="20"/>
                <w:lang w:eastAsia="en-US"/>
              </w:rPr>
              <w:t>b) Kontrata e nënshkruar është prishur dhe shumë punëtorë kanë mbetur të papaguar, nënkontraktorët dhe / ose furnizuesit e materialeve;</w:t>
            </w:r>
          </w:p>
          <w:p w14:paraId="728159B3">
            <w:pPr>
              <w:spacing w:after="0"/>
              <w:ind w:left="2210"/>
              <w:textAlignment w:val="top"/>
              <w:rPr>
                <w:rFonts w:ascii="Arial" w:hAnsi="Arial" w:cs="Arial"/>
                <w:color w:val="000000"/>
                <w:sz w:val="20"/>
                <w:lang w:eastAsia="en-US"/>
              </w:rPr>
            </w:pPr>
          </w:p>
          <w:p w14:paraId="675B2B4D">
            <w:pPr>
              <w:tabs>
                <w:tab w:val="left" w:pos="540"/>
              </w:tabs>
              <w:autoSpaceDE w:val="0"/>
              <w:autoSpaceDN w:val="0"/>
              <w:adjustRightInd w:val="0"/>
              <w:spacing w:after="120"/>
              <w:rPr>
                <w:rFonts w:ascii="Arial" w:hAnsi="Arial" w:cs="Arial"/>
                <w:sz w:val="20"/>
              </w:rPr>
            </w:pPr>
            <w:r>
              <w:rPr>
                <w:rStyle w:val="126"/>
                <w:rFonts w:ascii="Arial" w:hAnsi="Arial" w:cs="Arial"/>
                <w:color w:val="000000"/>
                <w:sz w:val="20"/>
              </w:rPr>
              <w:t>14.7</w:t>
            </w:r>
            <w:r>
              <w:rPr>
                <w:rFonts w:ascii="Arial" w:hAnsi="Arial" w:cs="Arial"/>
                <w:color w:val="000000"/>
                <w:sz w:val="20"/>
              </w:rPr>
              <w:t xml:space="preserve"> </w:t>
            </w:r>
            <w:r>
              <w:rPr>
                <w:rFonts w:ascii="Arial" w:hAnsi="Arial" w:cs="Arial"/>
                <w:sz w:val="20"/>
              </w:rPr>
              <w:t>Në rast se nuk ka ndodhur asnjë nga rrethanat e cekura më lart, që do të shkaktonin konfiskimin e sigurisë së ekzekutimit, autoriteti kontraktues do t’i kthej fondet ose dokumentet që janë depozituar në formë të sigurisë së ekzekutimit, në pajtim me kushtet e kontratës.</w:t>
            </w:r>
          </w:p>
        </w:tc>
      </w:tr>
      <w:tr w14:paraId="6B9261FE">
        <w:tblPrEx>
          <w:tblCellMar>
            <w:top w:w="0" w:type="dxa"/>
            <w:left w:w="108" w:type="dxa"/>
            <w:bottom w:w="0" w:type="dxa"/>
            <w:right w:w="108" w:type="dxa"/>
          </w:tblCellMar>
        </w:tblPrEx>
        <w:trPr>
          <w:jc w:val="center"/>
        </w:trPr>
        <w:tc>
          <w:tcPr>
            <w:tcW w:w="2120" w:type="dxa"/>
          </w:tcPr>
          <w:p w14:paraId="1D66A7B8">
            <w:pPr>
              <w:pStyle w:val="111"/>
              <w:tabs>
                <w:tab w:val="clear" w:pos="360"/>
              </w:tabs>
              <w:spacing w:before="0" w:after="200"/>
              <w:ind w:left="0" w:firstLine="0"/>
              <w:rPr>
                <w:rFonts w:ascii="Arial" w:hAnsi="Arial" w:cs="Arial"/>
                <w:sz w:val="20"/>
                <w:lang w:val="sq-AL"/>
              </w:rPr>
            </w:pPr>
          </w:p>
        </w:tc>
        <w:tc>
          <w:tcPr>
            <w:tcW w:w="6405" w:type="dxa"/>
          </w:tcPr>
          <w:p w14:paraId="063CF512">
            <w:pPr>
              <w:pStyle w:val="2"/>
              <w:spacing w:before="120" w:after="120"/>
              <w:rPr>
                <w:rFonts w:ascii="Arial" w:hAnsi="Arial" w:cs="Arial"/>
                <w:sz w:val="24"/>
                <w:szCs w:val="24"/>
                <w:lang w:val="sq-AL"/>
              </w:rPr>
            </w:pPr>
            <w:bookmarkStart w:id="28" w:name="_Toc286833822"/>
            <w:bookmarkStart w:id="29" w:name="_Toc444607924"/>
            <w:r>
              <w:rPr>
                <w:rFonts w:ascii="Arial" w:hAnsi="Arial" w:cs="Arial"/>
                <w:sz w:val="24"/>
                <w:szCs w:val="24"/>
                <w:lang w:val="sq-AL"/>
              </w:rPr>
              <w:t>P</w:t>
            </w:r>
            <w:r>
              <w:rPr>
                <w:rStyle w:val="126"/>
                <w:rFonts w:ascii="Arial" w:hAnsi="Arial" w:cs="Arial"/>
                <w:color w:val="000000"/>
                <w:sz w:val="24"/>
                <w:szCs w:val="24"/>
                <w:lang w:val="sq-AL"/>
              </w:rPr>
              <w:t>ërmbajtja e Dosjes së Tenderit</w:t>
            </w:r>
            <w:bookmarkEnd w:id="28"/>
            <w:bookmarkEnd w:id="29"/>
            <w:r>
              <w:rPr>
                <w:rStyle w:val="126"/>
                <w:rFonts w:ascii="Arial" w:hAnsi="Arial" w:cs="Arial"/>
                <w:color w:val="000000"/>
                <w:sz w:val="24"/>
                <w:szCs w:val="24"/>
                <w:lang w:val="sq-AL"/>
              </w:rPr>
              <w:t xml:space="preserve"> </w:t>
            </w:r>
          </w:p>
        </w:tc>
      </w:tr>
      <w:tr w14:paraId="5ABFBDCC">
        <w:tblPrEx>
          <w:tblCellMar>
            <w:top w:w="0" w:type="dxa"/>
            <w:left w:w="108" w:type="dxa"/>
            <w:bottom w:w="0" w:type="dxa"/>
            <w:right w:w="108" w:type="dxa"/>
          </w:tblCellMar>
        </w:tblPrEx>
        <w:trPr>
          <w:jc w:val="center"/>
        </w:trPr>
        <w:tc>
          <w:tcPr>
            <w:tcW w:w="2120" w:type="dxa"/>
          </w:tcPr>
          <w:p w14:paraId="69C63ECA">
            <w:pPr>
              <w:pStyle w:val="112"/>
              <w:spacing w:before="0" w:after="200"/>
              <w:ind w:left="0" w:firstLine="0"/>
              <w:rPr>
                <w:rFonts w:ascii="Arial" w:hAnsi="Arial" w:cs="Arial"/>
                <w:sz w:val="20"/>
                <w:lang w:val="sq-AL"/>
              </w:rPr>
            </w:pPr>
            <w:bookmarkStart w:id="30" w:name="_Toc438532572"/>
            <w:bookmarkEnd w:id="30"/>
            <w:bookmarkStart w:id="31" w:name="_Toc61936842"/>
            <w:bookmarkStart w:id="32" w:name="_Toc438532574"/>
            <w:bookmarkStart w:id="33" w:name="_Toc438907010"/>
            <w:bookmarkStart w:id="34" w:name="_Toc438438826"/>
            <w:bookmarkStart w:id="35" w:name="_Toc438733970"/>
            <w:bookmarkStart w:id="36" w:name="_Toc438907209"/>
            <w:r>
              <w:rPr>
                <w:rFonts w:ascii="Arial" w:hAnsi="Arial" w:cs="Arial"/>
                <w:sz w:val="20"/>
                <w:lang w:val="sq-AL"/>
              </w:rPr>
              <w:t>15. Seksionet e Dosjes se Tenderit</w:t>
            </w:r>
          </w:p>
          <w:bookmarkEnd w:id="31"/>
          <w:bookmarkEnd w:id="32"/>
          <w:bookmarkEnd w:id="33"/>
          <w:bookmarkEnd w:id="34"/>
          <w:bookmarkEnd w:id="35"/>
          <w:bookmarkEnd w:id="36"/>
          <w:p w14:paraId="7563AC69">
            <w:pPr>
              <w:pStyle w:val="112"/>
              <w:spacing w:before="0" w:after="200"/>
              <w:ind w:left="0" w:firstLine="0"/>
              <w:rPr>
                <w:rFonts w:ascii="Arial" w:hAnsi="Arial" w:cs="Arial"/>
                <w:sz w:val="20"/>
                <w:lang w:val="sq-AL"/>
              </w:rPr>
            </w:pPr>
          </w:p>
        </w:tc>
        <w:tc>
          <w:tcPr>
            <w:tcW w:w="6405" w:type="dxa"/>
          </w:tcPr>
          <w:p w14:paraId="0BDA40F8">
            <w:pPr>
              <w:spacing w:after="0"/>
              <w:jc w:val="left"/>
              <w:textAlignment w:val="top"/>
              <w:rPr>
                <w:rStyle w:val="126"/>
                <w:rFonts w:ascii="Arial" w:hAnsi="Arial" w:cs="Arial"/>
                <w:color w:val="000000"/>
                <w:sz w:val="20"/>
                <w:lang w:eastAsia="en-US"/>
              </w:rPr>
            </w:pPr>
            <w:r>
              <w:rPr>
                <w:rFonts w:ascii="Arial" w:hAnsi="Arial" w:cs="Arial"/>
                <w:color w:val="000000"/>
                <w:sz w:val="20"/>
                <w:lang w:eastAsia="en-US"/>
              </w:rPr>
              <w:t>15.1 Dosja e Tenderit përbëhet nga Pjesa A, B,dhe C, të cilat</w:t>
            </w:r>
            <w:r>
              <w:rPr>
                <w:rStyle w:val="126"/>
                <w:rFonts w:ascii="Arial" w:hAnsi="Arial" w:cs="Arial"/>
                <w:b/>
                <w:color w:val="000000"/>
                <w:sz w:val="20"/>
              </w:rPr>
              <w:t xml:space="preserve"> </w:t>
            </w:r>
            <w:r>
              <w:rPr>
                <w:rFonts w:ascii="Arial" w:hAnsi="Arial" w:cs="Arial"/>
                <w:color w:val="000000"/>
                <w:sz w:val="20"/>
                <w:lang w:eastAsia="en-US"/>
              </w:rPr>
              <w:t>përfshijnë të  gjitha Seksionet e prezantuara më poshtë, dhe duhet të lexohen</w:t>
            </w:r>
            <w:r>
              <w:rPr>
                <w:rFonts w:ascii="Arial" w:hAnsi="Arial" w:cs="Arial"/>
                <w:b/>
                <w:color w:val="000000"/>
                <w:sz w:val="20"/>
              </w:rPr>
              <w:t xml:space="preserve"> </w:t>
            </w:r>
            <w:r>
              <w:rPr>
                <w:rFonts w:ascii="Arial" w:hAnsi="Arial" w:cs="Arial"/>
                <w:color w:val="000000"/>
                <w:sz w:val="20"/>
                <w:lang w:eastAsia="en-US"/>
              </w:rPr>
              <w:t>së bashku me ndonjë Shtojce të lëshuar në përputhje me Informacion për Tenderuesit Neni 17.</w:t>
            </w:r>
          </w:p>
          <w:p w14:paraId="4EFB1148">
            <w:pPr>
              <w:spacing w:after="0"/>
              <w:ind w:left="1875" w:hanging="1875"/>
              <w:jc w:val="left"/>
              <w:textAlignment w:val="top"/>
              <w:rPr>
                <w:rFonts w:ascii="Arial" w:hAnsi="Arial" w:cs="Arial"/>
                <w:color w:val="000000"/>
                <w:sz w:val="20"/>
                <w:lang w:eastAsia="en-US"/>
              </w:rPr>
            </w:pPr>
            <w:r>
              <w:rPr>
                <w:rStyle w:val="126"/>
                <w:rFonts w:ascii="Arial" w:hAnsi="Arial" w:cs="Arial"/>
                <w:b/>
                <w:color w:val="000000"/>
                <w:sz w:val="20"/>
              </w:rPr>
              <w:tab/>
            </w:r>
            <w:r>
              <w:rPr>
                <w:rFonts w:ascii="Arial" w:hAnsi="Arial" w:cs="Arial"/>
                <w:b/>
                <w:color w:val="888888"/>
                <w:sz w:val="20"/>
                <w:lang w:eastAsia="en-US"/>
              </w:rPr>
              <w:tab/>
            </w:r>
          </w:p>
          <w:p w14:paraId="10D2D0EC">
            <w:pPr>
              <w:spacing w:after="0"/>
              <w:jc w:val="left"/>
              <w:textAlignment w:val="top"/>
              <w:rPr>
                <w:rStyle w:val="126"/>
                <w:rFonts w:ascii="Arial" w:hAnsi="Arial" w:cs="Arial"/>
                <w:b/>
                <w:color w:val="000000"/>
                <w:sz w:val="20"/>
              </w:rPr>
            </w:pPr>
            <w:r>
              <w:rPr>
                <w:rStyle w:val="126"/>
                <w:rFonts w:ascii="Arial" w:hAnsi="Arial" w:cs="Arial"/>
                <w:b/>
                <w:color w:val="000000"/>
                <w:sz w:val="20"/>
              </w:rPr>
              <w:t xml:space="preserve">PJESA  A </w:t>
            </w:r>
            <w:r>
              <w:rPr>
                <w:rStyle w:val="126"/>
                <w:rFonts w:ascii="Arial" w:hAnsi="Arial" w:cs="Arial"/>
                <w:b/>
                <w:color w:val="000000"/>
                <w:sz w:val="20"/>
              </w:rPr>
              <w:tab/>
            </w:r>
            <w:r>
              <w:rPr>
                <w:rStyle w:val="126"/>
                <w:rFonts w:ascii="Arial" w:hAnsi="Arial" w:cs="Arial"/>
                <w:b/>
                <w:color w:val="000000"/>
                <w:sz w:val="20"/>
              </w:rPr>
              <w:t xml:space="preserve">Procedurat e Tenderimit </w:t>
            </w:r>
          </w:p>
          <w:p w14:paraId="02A5B871">
            <w:pPr>
              <w:pStyle w:val="114"/>
              <w:numPr>
                <w:ilvl w:val="0"/>
                <w:numId w:val="13"/>
              </w:numPr>
              <w:ind w:left="924" w:hanging="357"/>
              <w:jc w:val="left"/>
              <w:textAlignment w:val="top"/>
              <w:rPr>
                <w:rStyle w:val="126"/>
                <w:rFonts w:ascii="Arial" w:hAnsi="Arial" w:cs="Arial"/>
                <w:color w:val="000000"/>
                <w:sz w:val="20"/>
              </w:rPr>
            </w:pPr>
            <w:r>
              <w:rPr>
                <w:rStyle w:val="126"/>
                <w:rFonts w:ascii="Arial" w:hAnsi="Arial" w:cs="Arial"/>
                <w:color w:val="000000"/>
                <w:sz w:val="20"/>
              </w:rPr>
              <w:t>Seksioni  I, Informata për Tenderuesit</w:t>
            </w:r>
          </w:p>
          <w:p w14:paraId="2AA17E33">
            <w:pPr>
              <w:pStyle w:val="114"/>
              <w:numPr>
                <w:ilvl w:val="0"/>
                <w:numId w:val="13"/>
              </w:numPr>
              <w:ind w:left="924" w:hanging="357"/>
              <w:jc w:val="left"/>
              <w:textAlignment w:val="top"/>
              <w:rPr>
                <w:rStyle w:val="126"/>
                <w:rFonts w:ascii="Arial" w:hAnsi="Arial" w:cs="Arial"/>
                <w:color w:val="000000"/>
                <w:sz w:val="20"/>
              </w:rPr>
            </w:pPr>
            <w:r>
              <w:rPr>
                <w:rStyle w:val="126"/>
                <w:rFonts w:ascii="Arial" w:hAnsi="Arial" w:cs="Arial"/>
                <w:color w:val="000000"/>
                <w:sz w:val="20"/>
              </w:rPr>
              <w:t>Seksioni II, Fleta e të Dhënave të Tenderit (FDT)</w:t>
            </w:r>
          </w:p>
          <w:p w14:paraId="10733862">
            <w:pPr>
              <w:pStyle w:val="114"/>
              <w:numPr>
                <w:ilvl w:val="0"/>
                <w:numId w:val="13"/>
              </w:numPr>
              <w:ind w:left="924" w:hanging="357"/>
              <w:jc w:val="left"/>
              <w:textAlignment w:val="top"/>
              <w:rPr>
                <w:rStyle w:val="126"/>
                <w:rFonts w:ascii="Arial" w:hAnsi="Arial" w:cs="Arial"/>
                <w:color w:val="000000"/>
                <w:sz w:val="20"/>
              </w:rPr>
            </w:pPr>
            <w:r>
              <w:rPr>
                <w:rStyle w:val="126"/>
                <w:rFonts w:ascii="Arial" w:hAnsi="Arial" w:cs="Arial"/>
                <w:color w:val="000000"/>
                <w:sz w:val="20"/>
              </w:rPr>
              <w:t>Anekset</w:t>
            </w:r>
          </w:p>
          <w:p w14:paraId="2F46C784">
            <w:pPr>
              <w:spacing w:after="0"/>
              <w:jc w:val="left"/>
              <w:textAlignment w:val="top"/>
              <w:rPr>
                <w:rStyle w:val="126"/>
                <w:rFonts w:ascii="Arial" w:hAnsi="Arial" w:cs="Arial"/>
                <w:b/>
                <w:color w:val="000000"/>
                <w:sz w:val="20"/>
              </w:rPr>
            </w:pPr>
            <w:r>
              <w:rPr>
                <w:rStyle w:val="126"/>
                <w:rFonts w:ascii="Arial" w:hAnsi="Arial" w:cs="Arial"/>
                <w:b/>
                <w:color w:val="000000"/>
                <w:sz w:val="20"/>
              </w:rPr>
              <w:t>PJESA  B</w:t>
            </w:r>
            <w:r>
              <w:rPr>
                <w:rStyle w:val="126"/>
                <w:rFonts w:ascii="Arial" w:hAnsi="Arial" w:cs="Arial"/>
                <w:b/>
                <w:color w:val="000000"/>
                <w:sz w:val="20"/>
              </w:rPr>
              <w:tab/>
            </w:r>
            <w:r>
              <w:rPr>
                <w:rStyle w:val="126"/>
                <w:rFonts w:ascii="Arial" w:hAnsi="Arial" w:cs="Arial"/>
                <w:b/>
                <w:color w:val="000000"/>
                <w:sz w:val="20"/>
              </w:rPr>
              <w:t xml:space="preserve">Kontrata </w:t>
            </w:r>
          </w:p>
          <w:p w14:paraId="4960EA78">
            <w:pPr>
              <w:pStyle w:val="114"/>
              <w:numPr>
                <w:ilvl w:val="0"/>
                <w:numId w:val="14"/>
              </w:numPr>
              <w:ind w:left="924" w:hanging="357"/>
              <w:jc w:val="left"/>
              <w:textAlignment w:val="top"/>
              <w:rPr>
                <w:rStyle w:val="126"/>
                <w:rFonts w:ascii="Arial" w:hAnsi="Arial" w:cs="Arial"/>
                <w:color w:val="000000"/>
                <w:sz w:val="20"/>
              </w:rPr>
            </w:pPr>
            <w:r>
              <w:rPr>
                <w:rStyle w:val="126"/>
                <w:rFonts w:ascii="Arial" w:hAnsi="Arial" w:cs="Arial"/>
                <w:color w:val="000000"/>
                <w:sz w:val="20"/>
              </w:rPr>
              <w:t xml:space="preserve">Seksioni  I,  Draft Kontrata     </w:t>
            </w:r>
          </w:p>
          <w:p w14:paraId="260FDD6E">
            <w:pPr>
              <w:pStyle w:val="114"/>
              <w:numPr>
                <w:ilvl w:val="0"/>
                <w:numId w:val="14"/>
              </w:numPr>
              <w:ind w:left="924" w:hanging="357"/>
              <w:jc w:val="left"/>
              <w:textAlignment w:val="top"/>
              <w:rPr>
                <w:rStyle w:val="126"/>
                <w:rFonts w:ascii="Arial" w:hAnsi="Arial" w:cs="Arial"/>
                <w:color w:val="000000"/>
                <w:sz w:val="20"/>
              </w:rPr>
            </w:pPr>
            <w:r>
              <w:rPr>
                <w:rStyle w:val="126"/>
                <w:rFonts w:ascii="Arial" w:hAnsi="Arial" w:cs="Arial"/>
                <w:color w:val="000000"/>
                <w:sz w:val="20"/>
              </w:rPr>
              <w:t xml:space="preserve">Seksioni  II, Kushtet e Përgjithshme të Kontratës(KPK) </w:t>
            </w:r>
          </w:p>
          <w:p w14:paraId="49AE84A6">
            <w:pPr>
              <w:pStyle w:val="114"/>
              <w:numPr>
                <w:ilvl w:val="0"/>
                <w:numId w:val="14"/>
              </w:numPr>
              <w:ind w:left="924" w:hanging="357"/>
              <w:jc w:val="left"/>
              <w:textAlignment w:val="top"/>
              <w:rPr>
                <w:rStyle w:val="126"/>
                <w:rFonts w:ascii="Arial" w:hAnsi="Arial" w:cs="Arial"/>
                <w:color w:val="000000"/>
                <w:sz w:val="20"/>
              </w:rPr>
            </w:pPr>
            <w:r>
              <w:rPr>
                <w:rStyle w:val="126"/>
                <w:rFonts w:ascii="Arial" w:hAnsi="Arial" w:cs="Arial"/>
                <w:color w:val="000000"/>
                <w:sz w:val="20"/>
              </w:rPr>
              <w:t xml:space="preserve">Seksioni III, Kushte e Veçanta të Kontratës (KVK) </w:t>
            </w:r>
          </w:p>
          <w:p w14:paraId="4723BD47">
            <w:pPr>
              <w:pStyle w:val="114"/>
              <w:numPr>
                <w:ilvl w:val="0"/>
                <w:numId w:val="14"/>
              </w:numPr>
              <w:ind w:left="924" w:hanging="357"/>
              <w:jc w:val="left"/>
              <w:textAlignment w:val="top"/>
              <w:rPr>
                <w:rStyle w:val="126"/>
                <w:rFonts w:ascii="Arial" w:hAnsi="Arial" w:cs="Arial"/>
                <w:color w:val="000000"/>
                <w:sz w:val="20"/>
              </w:rPr>
            </w:pPr>
            <w:r>
              <w:rPr>
                <w:rStyle w:val="126"/>
                <w:rFonts w:ascii="Arial" w:hAnsi="Arial" w:cs="Arial"/>
                <w:color w:val="000000"/>
                <w:sz w:val="20"/>
              </w:rPr>
              <w:t xml:space="preserve">Seksioni IV, Formulari i Garancionit te Përmbushjes </w:t>
            </w:r>
          </w:p>
          <w:p w14:paraId="412138FD">
            <w:pPr>
              <w:pStyle w:val="114"/>
              <w:numPr>
                <w:ilvl w:val="0"/>
                <w:numId w:val="14"/>
              </w:numPr>
              <w:ind w:left="924" w:hanging="357"/>
              <w:jc w:val="left"/>
              <w:textAlignment w:val="top"/>
              <w:rPr>
                <w:rStyle w:val="126"/>
                <w:rFonts w:ascii="Arial" w:hAnsi="Arial" w:cs="Arial"/>
                <w:color w:val="000000"/>
                <w:sz w:val="20"/>
              </w:rPr>
            </w:pPr>
            <w:r>
              <w:rPr>
                <w:rStyle w:val="126"/>
                <w:rFonts w:ascii="Arial" w:hAnsi="Arial" w:cs="Arial"/>
                <w:color w:val="000000"/>
                <w:sz w:val="20"/>
              </w:rPr>
              <w:t>Seksioni V, Identifikimi Financiar</w:t>
            </w:r>
          </w:p>
          <w:p w14:paraId="329426D7">
            <w:pPr>
              <w:spacing w:after="0"/>
              <w:jc w:val="left"/>
              <w:textAlignment w:val="top"/>
              <w:rPr>
                <w:rStyle w:val="126"/>
                <w:rFonts w:ascii="Arial" w:hAnsi="Arial" w:cs="Arial"/>
                <w:b/>
                <w:color w:val="000000"/>
                <w:sz w:val="20"/>
              </w:rPr>
            </w:pPr>
          </w:p>
          <w:p w14:paraId="78A2D347">
            <w:pPr>
              <w:spacing w:after="0"/>
              <w:jc w:val="left"/>
              <w:textAlignment w:val="top"/>
              <w:rPr>
                <w:rStyle w:val="126"/>
                <w:rFonts w:ascii="Arial" w:hAnsi="Arial" w:cs="Arial"/>
                <w:b/>
                <w:color w:val="000000"/>
                <w:sz w:val="20"/>
              </w:rPr>
            </w:pPr>
            <w:r>
              <w:rPr>
                <w:rStyle w:val="126"/>
                <w:rFonts w:ascii="Arial" w:hAnsi="Arial" w:cs="Arial"/>
                <w:b/>
                <w:color w:val="000000"/>
                <w:sz w:val="20"/>
              </w:rPr>
              <w:t>PJESA</w:t>
            </w:r>
            <w:r>
              <w:rPr>
                <w:rStyle w:val="126"/>
                <w:rFonts w:ascii="Arial" w:hAnsi="Arial" w:cs="Arial"/>
                <w:b/>
                <w:color w:val="000000"/>
                <w:sz w:val="20"/>
              </w:rPr>
              <w:tab/>
            </w:r>
            <w:r>
              <w:rPr>
                <w:rStyle w:val="126"/>
                <w:rFonts w:ascii="Arial" w:hAnsi="Arial" w:cs="Arial"/>
                <w:b/>
                <w:color w:val="000000"/>
                <w:sz w:val="20"/>
              </w:rPr>
              <w:t xml:space="preserve">C            Forma e Tenderit </w:t>
            </w:r>
          </w:p>
          <w:p w14:paraId="19904E72">
            <w:pPr>
              <w:pStyle w:val="114"/>
              <w:numPr>
                <w:ilvl w:val="0"/>
                <w:numId w:val="15"/>
              </w:numPr>
              <w:ind w:left="924" w:hanging="357"/>
              <w:jc w:val="left"/>
              <w:textAlignment w:val="top"/>
              <w:rPr>
                <w:rStyle w:val="126"/>
                <w:rFonts w:ascii="Arial" w:hAnsi="Arial" w:cs="Arial"/>
                <w:color w:val="000000"/>
                <w:sz w:val="20"/>
              </w:rPr>
            </w:pPr>
            <w:r>
              <w:rPr>
                <w:rStyle w:val="126"/>
                <w:rFonts w:ascii="Arial" w:hAnsi="Arial" w:cs="Arial"/>
                <w:color w:val="000000"/>
                <w:sz w:val="20"/>
              </w:rPr>
              <w:t xml:space="preserve">Seksioni I,  Forma e Tenderit  </w:t>
            </w:r>
          </w:p>
          <w:p w14:paraId="501E246F">
            <w:pPr>
              <w:pStyle w:val="114"/>
              <w:numPr>
                <w:ilvl w:val="0"/>
                <w:numId w:val="15"/>
              </w:numPr>
              <w:ind w:left="924" w:hanging="357"/>
              <w:jc w:val="left"/>
              <w:textAlignment w:val="top"/>
              <w:rPr>
                <w:rStyle w:val="126"/>
                <w:rFonts w:ascii="Arial" w:hAnsi="Arial" w:cs="Arial"/>
                <w:color w:val="000000"/>
                <w:sz w:val="20"/>
              </w:rPr>
            </w:pPr>
            <w:r>
              <w:rPr>
                <w:rStyle w:val="126"/>
                <w:rFonts w:ascii="Arial" w:hAnsi="Arial" w:cs="Arial"/>
                <w:color w:val="000000"/>
                <w:sz w:val="20"/>
              </w:rPr>
              <w:t>Seksioni II, Përshkrimi i Çmimeve</w:t>
            </w:r>
          </w:p>
          <w:p w14:paraId="2F6898EE">
            <w:pPr>
              <w:pStyle w:val="114"/>
              <w:ind w:left="924"/>
              <w:jc w:val="left"/>
              <w:textAlignment w:val="top"/>
              <w:rPr>
                <w:rFonts w:ascii="Arial" w:hAnsi="Arial" w:cs="Arial"/>
                <w:color w:val="000000"/>
                <w:sz w:val="20"/>
              </w:rPr>
            </w:pPr>
          </w:p>
        </w:tc>
      </w:tr>
      <w:tr w14:paraId="60790E7E">
        <w:tblPrEx>
          <w:tblCellMar>
            <w:top w:w="0" w:type="dxa"/>
            <w:left w:w="108" w:type="dxa"/>
            <w:bottom w:w="0" w:type="dxa"/>
            <w:right w:w="108" w:type="dxa"/>
          </w:tblCellMar>
        </w:tblPrEx>
        <w:trPr>
          <w:jc w:val="center"/>
        </w:trPr>
        <w:tc>
          <w:tcPr>
            <w:tcW w:w="2120" w:type="dxa"/>
          </w:tcPr>
          <w:p w14:paraId="08E12510">
            <w:pPr>
              <w:pStyle w:val="112"/>
              <w:spacing w:before="0" w:after="200"/>
              <w:ind w:left="0" w:firstLine="0"/>
              <w:rPr>
                <w:rFonts w:ascii="Arial" w:hAnsi="Arial" w:cs="Arial"/>
                <w:sz w:val="20"/>
                <w:lang w:val="sq-AL"/>
              </w:rPr>
            </w:pPr>
            <w:bookmarkStart w:id="37" w:name="_Toc438907011"/>
            <w:bookmarkStart w:id="38" w:name="_Toc438907210"/>
            <w:bookmarkStart w:id="39" w:name="_Toc61936843"/>
            <w:bookmarkStart w:id="40" w:name="_Toc438438827"/>
            <w:bookmarkStart w:id="41" w:name="_Toc438532575"/>
            <w:bookmarkStart w:id="42" w:name="_Toc438733971"/>
            <w:r>
              <w:rPr>
                <w:rFonts w:ascii="Arial" w:hAnsi="Arial" w:cs="Arial"/>
                <w:sz w:val="20"/>
                <w:lang w:val="sq-AL"/>
              </w:rPr>
              <w:t>16. Sqarimet e Dosjes se Tenderit</w:t>
            </w:r>
          </w:p>
          <w:bookmarkEnd w:id="37"/>
          <w:bookmarkEnd w:id="38"/>
          <w:bookmarkEnd w:id="39"/>
          <w:bookmarkEnd w:id="40"/>
          <w:bookmarkEnd w:id="41"/>
          <w:bookmarkEnd w:id="42"/>
          <w:p w14:paraId="40578425">
            <w:pPr>
              <w:pStyle w:val="112"/>
              <w:spacing w:before="0" w:after="200"/>
              <w:rPr>
                <w:rFonts w:ascii="Arial" w:hAnsi="Arial" w:cs="Arial"/>
                <w:sz w:val="20"/>
                <w:lang w:val="sq-AL"/>
              </w:rPr>
            </w:pPr>
          </w:p>
        </w:tc>
        <w:tc>
          <w:tcPr>
            <w:tcW w:w="6405" w:type="dxa"/>
          </w:tcPr>
          <w:p w14:paraId="78755528">
            <w:pPr>
              <w:spacing w:after="0"/>
              <w:textAlignment w:val="top"/>
              <w:rPr>
                <w:rStyle w:val="126"/>
                <w:rFonts w:ascii="Arial" w:hAnsi="Arial" w:cs="Arial"/>
                <w:color w:val="000000"/>
                <w:sz w:val="20"/>
              </w:rPr>
            </w:pPr>
            <w:r>
              <w:rPr>
                <w:rStyle w:val="126"/>
                <w:rFonts w:ascii="Arial" w:hAnsi="Arial" w:cs="Arial"/>
                <w:color w:val="000000"/>
                <w:sz w:val="20"/>
              </w:rPr>
              <w:t>16.1</w:t>
            </w:r>
            <w:r>
              <w:rPr>
                <w:rFonts w:ascii="Arial" w:hAnsi="Arial" w:cs="Arial"/>
                <w:color w:val="000000"/>
                <w:sz w:val="20"/>
              </w:rPr>
              <w:t xml:space="preserve"> </w:t>
            </w:r>
            <w:r>
              <w:rPr>
                <w:rStyle w:val="126"/>
                <w:rFonts w:ascii="Arial" w:hAnsi="Arial" w:cs="Arial"/>
                <w:color w:val="000000"/>
                <w:sz w:val="20"/>
              </w:rPr>
              <w:t>Tenderuesit janë të lejuar</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bëjnë</w:t>
            </w:r>
            <w:r>
              <w:rPr>
                <w:rFonts w:ascii="Arial" w:hAnsi="Arial" w:cs="Arial"/>
                <w:color w:val="000000"/>
                <w:sz w:val="20"/>
              </w:rPr>
              <w:t xml:space="preserve"> </w:t>
            </w:r>
            <w:r>
              <w:rPr>
                <w:rStyle w:val="126"/>
                <w:rFonts w:ascii="Arial" w:hAnsi="Arial" w:cs="Arial"/>
                <w:color w:val="000000"/>
                <w:sz w:val="20"/>
              </w:rPr>
              <w:t>një</w:t>
            </w:r>
            <w:r>
              <w:rPr>
                <w:rFonts w:ascii="Arial" w:hAnsi="Arial" w:cs="Arial"/>
                <w:color w:val="000000"/>
                <w:sz w:val="20"/>
              </w:rPr>
              <w:t xml:space="preserve"> </w:t>
            </w:r>
            <w:r>
              <w:rPr>
                <w:rStyle w:val="126"/>
                <w:rFonts w:ascii="Arial" w:hAnsi="Arial" w:cs="Arial"/>
                <w:color w:val="000000"/>
                <w:sz w:val="20"/>
              </w:rPr>
              <w:t>kërkesë</w:t>
            </w:r>
            <w:r>
              <w:rPr>
                <w:rFonts w:ascii="Arial" w:hAnsi="Arial" w:cs="Arial"/>
                <w:color w:val="000000"/>
                <w:sz w:val="20"/>
              </w:rPr>
              <w:t xml:space="preserve"> </w:t>
            </w:r>
            <w:r>
              <w:rPr>
                <w:rStyle w:val="126"/>
                <w:rFonts w:ascii="Arial" w:hAnsi="Arial" w:cs="Arial"/>
                <w:color w:val="000000"/>
                <w:sz w:val="20"/>
              </w:rPr>
              <w:t>me shkrim pran autoritetit</w:t>
            </w:r>
            <w:r>
              <w:rPr>
                <w:rFonts w:ascii="Arial" w:hAnsi="Arial" w:cs="Arial"/>
                <w:color w:val="000000"/>
                <w:sz w:val="20"/>
              </w:rPr>
              <w:t xml:space="preserve"> </w:t>
            </w:r>
            <w:r>
              <w:rPr>
                <w:rStyle w:val="126"/>
                <w:rFonts w:ascii="Arial" w:hAnsi="Arial" w:cs="Arial"/>
                <w:color w:val="000000"/>
                <w:sz w:val="20"/>
              </w:rPr>
              <w:t>kontraktues</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informata shtesë ose sqaruese që</w:t>
            </w:r>
            <w:r>
              <w:rPr>
                <w:rFonts w:ascii="Arial" w:hAnsi="Arial" w:cs="Arial"/>
                <w:color w:val="000000"/>
                <w:sz w:val="20"/>
              </w:rPr>
              <w:t xml:space="preserve"> </w:t>
            </w:r>
            <w:r>
              <w:rPr>
                <w:rStyle w:val="126"/>
                <w:rFonts w:ascii="Arial" w:hAnsi="Arial" w:cs="Arial"/>
                <w:color w:val="000000"/>
                <w:sz w:val="20"/>
              </w:rPr>
              <w:t>ata</w:t>
            </w:r>
            <w:r>
              <w:rPr>
                <w:rFonts w:ascii="Arial" w:hAnsi="Arial" w:cs="Arial"/>
                <w:color w:val="000000"/>
                <w:sz w:val="20"/>
              </w:rPr>
              <w:t xml:space="preserve"> </w:t>
            </w:r>
            <w:r>
              <w:rPr>
                <w:rStyle w:val="126"/>
                <w:rFonts w:ascii="Arial" w:hAnsi="Arial" w:cs="Arial"/>
                <w:color w:val="000000"/>
                <w:sz w:val="20"/>
              </w:rPr>
              <w:t>mendojnë se</w:t>
            </w:r>
            <w:r>
              <w:rPr>
                <w:rFonts w:ascii="Arial" w:hAnsi="Arial" w:cs="Arial"/>
                <w:color w:val="000000"/>
                <w:sz w:val="20"/>
              </w:rPr>
              <w:t xml:space="preserve"> </w:t>
            </w:r>
            <w:r>
              <w:rPr>
                <w:rStyle w:val="126"/>
                <w:rFonts w:ascii="Arial" w:hAnsi="Arial" w:cs="Arial"/>
                <w:color w:val="000000"/>
                <w:sz w:val="20"/>
              </w:rPr>
              <w:t>është e nevojshme për</w:t>
            </w:r>
            <w:r>
              <w:rPr>
                <w:rFonts w:ascii="Arial" w:hAnsi="Arial" w:cs="Arial"/>
                <w:color w:val="000000"/>
                <w:sz w:val="20"/>
              </w:rPr>
              <w:t xml:space="preserve"> </w:t>
            </w:r>
            <w:r>
              <w:rPr>
                <w:rStyle w:val="126"/>
                <w:rFonts w:ascii="Arial" w:hAnsi="Arial" w:cs="Arial"/>
                <w:color w:val="000000"/>
                <w:sz w:val="20"/>
              </w:rPr>
              <w:t>përgatitjen</w:t>
            </w:r>
            <w:r>
              <w:rPr>
                <w:rFonts w:ascii="Arial" w:hAnsi="Arial" w:cs="Arial"/>
                <w:color w:val="000000"/>
                <w:sz w:val="20"/>
              </w:rPr>
              <w:t xml:space="preserve"> </w:t>
            </w:r>
            <w:r>
              <w:rPr>
                <w:rStyle w:val="126"/>
                <w:rFonts w:ascii="Arial" w:hAnsi="Arial" w:cs="Arial"/>
                <w:color w:val="000000"/>
                <w:sz w:val="20"/>
              </w:rPr>
              <w:t>ose dorëzimin e</w:t>
            </w:r>
            <w:r>
              <w:rPr>
                <w:rFonts w:ascii="Arial" w:hAnsi="Arial" w:cs="Arial"/>
                <w:color w:val="000000"/>
                <w:sz w:val="20"/>
              </w:rPr>
              <w:t xml:space="preserve"> </w:t>
            </w:r>
            <w:r>
              <w:rPr>
                <w:rStyle w:val="126"/>
                <w:rFonts w:ascii="Arial" w:hAnsi="Arial" w:cs="Arial"/>
                <w:color w:val="000000"/>
                <w:sz w:val="20"/>
              </w:rPr>
              <w:t>një tenderi të</w:t>
            </w:r>
            <w:r>
              <w:rPr>
                <w:rFonts w:ascii="Arial" w:hAnsi="Arial" w:cs="Arial"/>
                <w:color w:val="000000"/>
                <w:sz w:val="20"/>
              </w:rPr>
              <w:t xml:space="preserve"> </w:t>
            </w:r>
            <w:r>
              <w:rPr>
                <w:rStyle w:val="126"/>
                <w:rFonts w:ascii="Arial" w:hAnsi="Arial" w:cs="Arial"/>
                <w:color w:val="000000"/>
                <w:sz w:val="20"/>
              </w:rPr>
              <w:t>përgjegjshëm</w:t>
            </w:r>
            <w:r>
              <w:rPr>
                <w:rFonts w:ascii="Arial" w:hAnsi="Arial" w:cs="Arial"/>
                <w:color w:val="000000"/>
                <w:sz w:val="20"/>
              </w:rPr>
              <w:t xml:space="preserve">. </w:t>
            </w:r>
            <w:r>
              <w:rPr>
                <w:rStyle w:val="126"/>
                <w:rFonts w:ascii="Arial" w:hAnsi="Arial" w:cs="Arial"/>
                <w:color w:val="000000"/>
                <w:sz w:val="20"/>
              </w:rPr>
              <w:t>Një kërkesë e tillë</w:t>
            </w:r>
            <w:r>
              <w:rPr>
                <w:rFonts w:ascii="Arial" w:hAnsi="Arial" w:cs="Arial"/>
                <w:color w:val="000000"/>
                <w:sz w:val="20"/>
              </w:rPr>
              <w:t xml:space="preserve"> </w:t>
            </w:r>
            <w:r>
              <w:rPr>
                <w:rStyle w:val="126"/>
                <w:rFonts w:ascii="Arial" w:hAnsi="Arial" w:cs="Arial"/>
                <w:color w:val="000000"/>
                <w:sz w:val="20"/>
              </w:rPr>
              <w:t>mund</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bëhet</w:t>
            </w:r>
            <w:r>
              <w:rPr>
                <w:rFonts w:ascii="Arial" w:hAnsi="Arial" w:cs="Arial"/>
                <w:color w:val="000000"/>
                <w:sz w:val="20"/>
              </w:rPr>
              <w:t xml:space="preserve"> </w:t>
            </w:r>
            <w:r>
              <w:rPr>
                <w:rStyle w:val="126"/>
                <w:rFonts w:ascii="Arial" w:hAnsi="Arial" w:cs="Arial"/>
                <w:color w:val="000000"/>
                <w:sz w:val="20"/>
              </w:rPr>
              <w:t>me anë të  përdorimit</w:t>
            </w:r>
            <w:r>
              <w:rPr>
                <w:rFonts w:ascii="Arial" w:hAnsi="Arial" w:cs="Arial"/>
                <w:color w:val="000000"/>
                <w:sz w:val="20"/>
              </w:rPr>
              <w:t xml:space="preserve"> </w:t>
            </w:r>
            <w:r>
              <w:rPr>
                <w:rStyle w:val="126"/>
                <w:rFonts w:ascii="Arial" w:hAnsi="Arial" w:cs="Arial"/>
                <w:color w:val="000000"/>
                <w:sz w:val="20"/>
              </w:rPr>
              <w:t>të formularit për kërkesë</w:t>
            </w:r>
            <w:r>
              <w:rPr>
                <w:rFonts w:ascii="Arial" w:hAnsi="Arial" w:cs="Arial"/>
                <w:color w:val="000000"/>
                <w:sz w:val="20"/>
              </w:rPr>
              <w:t xml:space="preserve">, </w:t>
            </w:r>
            <w:r>
              <w:rPr>
                <w:rStyle w:val="126"/>
                <w:rFonts w:ascii="Arial" w:hAnsi="Arial" w:cs="Arial"/>
                <w:color w:val="000000"/>
                <w:sz w:val="20"/>
              </w:rPr>
              <w:t>shih</w:t>
            </w:r>
            <w:r>
              <w:rPr>
                <w:rFonts w:ascii="Arial" w:hAnsi="Arial" w:cs="Arial"/>
                <w:color w:val="000000"/>
                <w:sz w:val="20"/>
              </w:rPr>
              <w:t xml:space="preserve"> </w:t>
            </w:r>
            <w:r>
              <w:rPr>
                <w:rStyle w:val="126"/>
                <w:rFonts w:ascii="Arial" w:hAnsi="Arial" w:cs="Arial"/>
                <w:color w:val="000000"/>
                <w:sz w:val="20"/>
              </w:rPr>
              <w:t>Aneksin</w:t>
            </w:r>
            <w:r>
              <w:rPr>
                <w:rFonts w:ascii="Arial" w:hAnsi="Arial" w:cs="Arial"/>
                <w:color w:val="000000"/>
                <w:sz w:val="20"/>
              </w:rPr>
              <w:t xml:space="preserve"> </w:t>
            </w:r>
            <w:r>
              <w:rPr>
                <w:rStyle w:val="126"/>
                <w:rFonts w:ascii="Arial" w:hAnsi="Arial" w:cs="Arial"/>
                <w:color w:val="000000"/>
                <w:sz w:val="20"/>
              </w:rPr>
              <w:t>5</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te </w:t>
            </w:r>
            <w:r>
              <w:rPr>
                <w:rStyle w:val="126"/>
                <w:rFonts w:ascii="Arial" w:hAnsi="Arial" w:cs="Arial"/>
                <w:color w:val="000000"/>
                <w:sz w:val="20"/>
              </w:rPr>
              <w:t>dorëzohet tek</w:t>
            </w:r>
            <w:r>
              <w:rPr>
                <w:rFonts w:ascii="Arial" w:hAnsi="Arial" w:cs="Arial"/>
                <w:color w:val="000000"/>
                <w:sz w:val="20"/>
              </w:rPr>
              <w:t xml:space="preserve"> </w:t>
            </w:r>
            <w:r>
              <w:rPr>
                <w:rStyle w:val="126"/>
                <w:rFonts w:ascii="Arial" w:hAnsi="Arial" w:cs="Arial"/>
                <w:color w:val="000000"/>
                <w:sz w:val="20"/>
              </w:rPr>
              <w:t>autoriteti kontraktues</w:t>
            </w:r>
            <w:r>
              <w:rPr>
                <w:rFonts w:ascii="Arial" w:hAnsi="Arial" w:cs="Arial"/>
                <w:color w:val="000000"/>
                <w:sz w:val="20"/>
              </w:rPr>
              <w:t xml:space="preserve"> </w:t>
            </w:r>
            <w:r>
              <w:rPr>
                <w:rStyle w:val="126"/>
                <w:rFonts w:ascii="Arial" w:hAnsi="Arial" w:cs="Arial"/>
                <w:color w:val="000000"/>
                <w:sz w:val="20"/>
              </w:rPr>
              <w:t>në mënyrë elektronike</w:t>
            </w:r>
            <w:r>
              <w:rPr>
                <w:rFonts w:ascii="Arial" w:hAnsi="Arial" w:cs="Arial"/>
                <w:color w:val="000000"/>
                <w:sz w:val="20"/>
              </w:rPr>
              <w:t xml:space="preserve">, me shkrim ose </w:t>
            </w:r>
            <w:r>
              <w:rPr>
                <w:rStyle w:val="126"/>
                <w:rFonts w:ascii="Arial" w:hAnsi="Arial" w:cs="Arial"/>
                <w:color w:val="000000"/>
                <w:sz w:val="20"/>
              </w:rPr>
              <w:t>faks. Autoriteti Kontraktues</w:t>
            </w:r>
            <w:r>
              <w:rPr>
                <w:rFonts w:ascii="Arial" w:hAnsi="Arial" w:cs="Arial"/>
                <w:color w:val="000000"/>
                <w:sz w:val="20"/>
              </w:rPr>
              <w:t xml:space="preserve"> </w:t>
            </w:r>
            <w:r>
              <w:rPr>
                <w:rStyle w:val="126"/>
                <w:rFonts w:ascii="Arial" w:hAnsi="Arial" w:cs="Arial"/>
                <w:color w:val="000000"/>
                <w:sz w:val="20"/>
              </w:rPr>
              <w:t>do të</w:t>
            </w:r>
            <w:r>
              <w:rPr>
                <w:rFonts w:ascii="Arial" w:hAnsi="Arial" w:cs="Arial"/>
                <w:color w:val="000000"/>
                <w:sz w:val="20"/>
              </w:rPr>
              <w:t xml:space="preserve"> </w:t>
            </w:r>
            <w:r>
              <w:rPr>
                <w:rStyle w:val="126"/>
                <w:rFonts w:ascii="Arial" w:hAnsi="Arial" w:cs="Arial"/>
                <w:color w:val="000000"/>
                <w:sz w:val="20"/>
              </w:rPr>
              <w:t>përgjigjet me</w:t>
            </w:r>
            <w:r>
              <w:rPr>
                <w:rFonts w:ascii="Arial" w:hAnsi="Arial" w:cs="Arial"/>
                <w:color w:val="000000"/>
                <w:sz w:val="20"/>
              </w:rPr>
              <w:t xml:space="preserve"> </w:t>
            </w:r>
            <w:r>
              <w:rPr>
                <w:rStyle w:val="126"/>
                <w:rFonts w:ascii="Arial" w:hAnsi="Arial" w:cs="Arial"/>
                <w:color w:val="000000"/>
                <w:sz w:val="20"/>
              </w:rPr>
              <w:t>shkrim</w:t>
            </w:r>
            <w:r>
              <w:rPr>
                <w:rFonts w:ascii="Arial" w:hAnsi="Arial" w:cs="Arial"/>
                <w:color w:val="000000"/>
                <w:sz w:val="20"/>
              </w:rPr>
              <w:t xml:space="preserve"> </w:t>
            </w:r>
            <w:r>
              <w:rPr>
                <w:rStyle w:val="126"/>
                <w:rFonts w:ascii="Arial" w:hAnsi="Arial" w:cs="Arial"/>
                <w:color w:val="000000"/>
                <w:sz w:val="20"/>
              </w:rPr>
              <w:t>çdo kërkese për</w:t>
            </w:r>
            <w:r>
              <w:rPr>
                <w:rFonts w:ascii="Arial" w:hAnsi="Arial" w:cs="Arial"/>
                <w:color w:val="000000"/>
                <w:sz w:val="20"/>
              </w:rPr>
              <w:t xml:space="preserve"> </w:t>
            </w:r>
            <w:r>
              <w:rPr>
                <w:rStyle w:val="126"/>
                <w:rFonts w:ascii="Arial" w:hAnsi="Arial" w:cs="Arial"/>
                <w:color w:val="000000"/>
                <w:sz w:val="20"/>
              </w:rPr>
              <w:t>sqarim</w:t>
            </w:r>
            <w:r>
              <w:rPr>
                <w:rFonts w:ascii="Arial" w:hAnsi="Arial" w:cs="Arial"/>
                <w:color w:val="000000"/>
                <w:sz w:val="20"/>
              </w:rPr>
              <w:t xml:space="preserve">,  </w:t>
            </w:r>
            <w:r>
              <w:rPr>
                <w:rStyle w:val="126"/>
                <w:rFonts w:ascii="Arial" w:hAnsi="Arial" w:cs="Arial"/>
                <w:color w:val="000000"/>
                <w:sz w:val="20"/>
              </w:rPr>
              <w:t>me kusht</w:t>
            </w:r>
            <w:r>
              <w:rPr>
                <w:rFonts w:ascii="Arial" w:hAnsi="Arial" w:cs="Arial"/>
                <w:color w:val="000000"/>
                <w:sz w:val="20"/>
              </w:rPr>
              <w:t xml:space="preserve">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kërkesa</w:t>
            </w:r>
            <w:r>
              <w:rPr>
                <w:rFonts w:ascii="Arial" w:hAnsi="Arial" w:cs="Arial"/>
                <w:color w:val="000000"/>
                <w:sz w:val="20"/>
              </w:rPr>
              <w:t xml:space="preserve"> </w:t>
            </w:r>
            <w:r>
              <w:rPr>
                <w:rStyle w:val="126"/>
                <w:rFonts w:ascii="Arial" w:hAnsi="Arial" w:cs="Arial"/>
                <w:color w:val="000000"/>
                <w:sz w:val="20"/>
              </w:rPr>
              <w:t>e tillë</w:t>
            </w:r>
            <w:r>
              <w:rPr>
                <w:rFonts w:ascii="Arial" w:hAnsi="Arial" w:cs="Arial"/>
                <w:color w:val="000000"/>
                <w:sz w:val="20"/>
              </w:rPr>
              <w:t xml:space="preserve"> </w:t>
            </w:r>
            <w:r>
              <w:rPr>
                <w:rStyle w:val="126"/>
                <w:rFonts w:ascii="Arial" w:hAnsi="Arial" w:cs="Arial"/>
                <w:color w:val="000000"/>
                <w:sz w:val="20"/>
              </w:rPr>
              <w:t>është</w:t>
            </w:r>
            <w:r>
              <w:rPr>
                <w:rFonts w:ascii="Arial" w:hAnsi="Arial" w:cs="Arial"/>
                <w:color w:val="000000"/>
                <w:sz w:val="20"/>
              </w:rPr>
              <w:t xml:space="preserve"> </w:t>
            </w:r>
            <w:r>
              <w:rPr>
                <w:rStyle w:val="126"/>
                <w:rFonts w:ascii="Arial" w:hAnsi="Arial" w:cs="Arial"/>
                <w:color w:val="000000"/>
                <w:sz w:val="20"/>
              </w:rPr>
              <w:t>marrë</w:t>
            </w:r>
            <w:r>
              <w:rPr>
                <w:rFonts w:ascii="Arial" w:hAnsi="Arial" w:cs="Arial"/>
                <w:color w:val="000000"/>
                <w:sz w:val="20"/>
              </w:rPr>
              <w:t xml:space="preserve"> </w:t>
            </w:r>
            <w:r>
              <w:rPr>
                <w:rStyle w:val="126"/>
                <w:rFonts w:ascii="Arial" w:hAnsi="Arial" w:cs="Arial"/>
                <w:color w:val="000000"/>
                <w:sz w:val="20"/>
              </w:rPr>
              <w:t>jo më vonë</w:t>
            </w:r>
            <w:r>
              <w:rPr>
                <w:rFonts w:ascii="Arial" w:hAnsi="Arial" w:cs="Arial"/>
                <w:color w:val="000000"/>
                <w:sz w:val="20"/>
              </w:rPr>
              <w:t xml:space="preserve"> </w:t>
            </w:r>
            <w:r>
              <w:rPr>
                <w:rStyle w:val="126"/>
                <w:rFonts w:ascii="Arial" w:hAnsi="Arial" w:cs="Arial"/>
                <w:color w:val="000000"/>
                <w:sz w:val="20"/>
              </w:rPr>
              <w:t>se afati i</w:t>
            </w:r>
            <w:r>
              <w:rPr>
                <w:rFonts w:ascii="Arial" w:hAnsi="Arial" w:cs="Arial"/>
                <w:color w:val="000000"/>
                <w:sz w:val="20"/>
              </w:rPr>
              <w:t xml:space="preserve"> </w:t>
            </w:r>
            <w:r>
              <w:rPr>
                <w:rFonts w:ascii="Arial" w:hAnsi="Arial" w:cs="Arial"/>
                <w:b/>
                <w:color w:val="000000"/>
                <w:sz w:val="20"/>
              </w:rPr>
              <w:t xml:space="preserve">dhëne </w:t>
            </w:r>
            <w:r>
              <w:rPr>
                <w:rStyle w:val="126"/>
                <w:rFonts w:ascii="Arial" w:hAnsi="Arial" w:cs="Arial"/>
                <w:b/>
                <w:color w:val="000000"/>
                <w:sz w:val="20"/>
              </w:rPr>
              <w:t>në</w:t>
            </w:r>
            <w:r>
              <w:rPr>
                <w:rFonts w:ascii="Arial" w:hAnsi="Arial" w:cs="Arial"/>
                <w:b/>
                <w:color w:val="000000"/>
                <w:sz w:val="20"/>
              </w:rPr>
              <w:t xml:space="preserve"> FD</w:t>
            </w:r>
            <w:r>
              <w:rPr>
                <w:rStyle w:val="126"/>
                <w:rFonts w:ascii="Arial" w:hAnsi="Arial" w:cs="Arial"/>
                <w:b/>
                <w:color w:val="000000"/>
                <w:sz w:val="20"/>
              </w:rPr>
              <w:t>T</w:t>
            </w:r>
            <w:r>
              <w:rPr>
                <w:rFonts w:ascii="Arial" w:hAnsi="Arial" w:cs="Arial"/>
                <w:color w:val="000000"/>
                <w:sz w:val="20"/>
              </w:rPr>
              <w:t xml:space="preserve">. </w:t>
            </w:r>
            <w:r>
              <w:rPr>
                <w:rStyle w:val="126"/>
                <w:rFonts w:ascii="Arial" w:hAnsi="Arial" w:cs="Arial"/>
                <w:color w:val="000000"/>
                <w:sz w:val="20"/>
              </w:rPr>
              <w:t>Autoriteti kontraktues do të</w:t>
            </w:r>
            <w:r>
              <w:rPr>
                <w:rFonts w:ascii="Arial" w:hAnsi="Arial" w:cs="Arial"/>
                <w:color w:val="000000"/>
                <w:sz w:val="20"/>
              </w:rPr>
              <w:t xml:space="preserve"> </w:t>
            </w:r>
            <w:r>
              <w:rPr>
                <w:rStyle w:val="126"/>
                <w:rFonts w:ascii="Arial" w:hAnsi="Arial" w:cs="Arial"/>
                <w:color w:val="000000"/>
                <w:sz w:val="20"/>
              </w:rPr>
              <w:t>dërgon kopjet</w:t>
            </w:r>
            <w:r>
              <w:rPr>
                <w:rFonts w:ascii="Arial" w:hAnsi="Arial" w:cs="Arial"/>
                <w:color w:val="000000"/>
                <w:sz w:val="20"/>
              </w:rPr>
              <w:t xml:space="preserve"> </w:t>
            </w:r>
            <w:r>
              <w:rPr>
                <w:rStyle w:val="126"/>
                <w:rFonts w:ascii="Arial" w:hAnsi="Arial" w:cs="Arial"/>
                <w:color w:val="000000"/>
                <w:sz w:val="20"/>
              </w:rPr>
              <w:t>e përgjigjes së</w:t>
            </w:r>
            <w:r>
              <w:rPr>
                <w:rFonts w:ascii="Arial" w:hAnsi="Arial" w:cs="Arial"/>
                <w:color w:val="000000"/>
                <w:sz w:val="20"/>
              </w:rPr>
              <w:t xml:space="preserve"> </w:t>
            </w:r>
            <w:r>
              <w:rPr>
                <w:rStyle w:val="126"/>
                <w:rFonts w:ascii="Arial" w:hAnsi="Arial" w:cs="Arial"/>
                <w:color w:val="000000"/>
                <w:sz w:val="20"/>
              </w:rPr>
              <w:t>tij</w:t>
            </w:r>
            <w:r>
              <w:rPr>
                <w:rFonts w:ascii="Arial" w:hAnsi="Arial" w:cs="Arial"/>
                <w:color w:val="000000"/>
                <w:sz w:val="20"/>
              </w:rPr>
              <w:t xml:space="preserve"> </w:t>
            </w:r>
            <w:r>
              <w:rPr>
                <w:rStyle w:val="126"/>
                <w:rFonts w:ascii="Arial" w:hAnsi="Arial" w:cs="Arial"/>
                <w:color w:val="000000"/>
                <w:sz w:val="20"/>
              </w:rPr>
              <w:t>tek të</w:t>
            </w:r>
            <w:r>
              <w:rPr>
                <w:rFonts w:ascii="Arial" w:hAnsi="Arial" w:cs="Arial"/>
                <w:color w:val="000000"/>
                <w:sz w:val="20"/>
              </w:rPr>
              <w:t xml:space="preserve"> </w:t>
            </w:r>
            <w:r>
              <w:rPr>
                <w:rStyle w:val="126"/>
                <w:rFonts w:ascii="Arial" w:hAnsi="Arial" w:cs="Arial"/>
                <w:color w:val="000000"/>
                <w:sz w:val="20"/>
              </w:rPr>
              <w:t>gjithë</w:t>
            </w:r>
            <w:r>
              <w:rPr>
                <w:rFonts w:ascii="Arial" w:hAnsi="Arial" w:cs="Arial"/>
                <w:color w:val="000000"/>
                <w:sz w:val="20"/>
              </w:rPr>
              <w:t xml:space="preserve"> </w:t>
            </w:r>
            <w:r>
              <w:rPr>
                <w:rStyle w:val="126"/>
                <w:rFonts w:ascii="Arial" w:hAnsi="Arial" w:cs="Arial"/>
                <w:color w:val="000000"/>
                <w:sz w:val="20"/>
              </w:rPr>
              <w:t>ata</w:t>
            </w:r>
            <w:r>
              <w:rPr>
                <w:rFonts w:ascii="Arial" w:hAnsi="Arial" w:cs="Arial"/>
                <w:color w:val="000000"/>
                <w:sz w:val="20"/>
              </w:rPr>
              <w:t xml:space="preserve">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kanë</w:t>
            </w:r>
            <w:r>
              <w:rPr>
                <w:rFonts w:ascii="Arial" w:hAnsi="Arial" w:cs="Arial"/>
                <w:color w:val="000000"/>
                <w:sz w:val="20"/>
              </w:rPr>
              <w:t xml:space="preserve"> pranuar</w:t>
            </w:r>
            <w:r>
              <w:rPr>
                <w:rStyle w:val="126"/>
                <w:rFonts w:ascii="Arial" w:hAnsi="Arial" w:cs="Arial"/>
                <w:color w:val="000000"/>
                <w:sz w:val="20"/>
              </w:rPr>
              <w:t xml:space="preserve"> Dosjen e Tenderit</w:t>
            </w:r>
            <w:r>
              <w:rPr>
                <w:rFonts w:ascii="Arial" w:hAnsi="Arial" w:cs="Arial"/>
                <w:color w:val="000000"/>
                <w:sz w:val="20"/>
              </w:rPr>
              <w:t xml:space="preserve"> </w:t>
            </w:r>
            <w:r>
              <w:rPr>
                <w:rStyle w:val="126"/>
                <w:rFonts w:ascii="Arial" w:hAnsi="Arial" w:cs="Arial"/>
                <w:color w:val="000000"/>
                <w:sz w:val="20"/>
              </w:rPr>
              <w:t>duke përfshirë</w:t>
            </w:r>
            <w:r>
              <w:rPr>
                <w:rFonts w:ascii="Arial" w:hAnsi="Arial" w:cs="Arial"/>
                <w:color w:val="000000"/>
                <w:sz w:val="20"/>
              </w:rPr>
              <w:t xml:space="preserve"> pyetjen  por </w:t>
            </w:r>
            <w:r>
              <w:rPr>
                <w:rStyle w:val="126"/>
                <w:rFonts w:ascii="Arial" w:hAnsi="Arial" w:cs="Arial"/>
                <w:color w:val="000000"/>
                <w:sz w:val="20"/>
              </w:rPr>
              <w:t>pa e</w:t>
            </w:r>
            <w:r>
              <w:rPr>
                <w:rFonts w:ascii="Arial" w:hAnsi="Arial" w:cs="Arial"/>
                <w:color w:val="000000"/>
                <w:sz w:val="20"/>
              </w:rPr>
              <w:t xml:space="preserve"> </w:t>
            </w:r>
            <w:r>
              <w:rPr>
                <w:rStyle w:val="126"/>
                <w:rFonts w:ascii="Arial" w:hAnsi="Arial" w:cs="Arial"/>
                <w:color w:val="000000"/>
                <w:sz w:val="20"/>
              </w:rPr>
              <w:t>identifikuar</w:t>
            </w:r>
            <w:r>
              <w:rPr>
                <w:rFonts w:ascii="Arial" w:hAnsi="Arial" w:cs="Arial"/>
                <w:color w:val="000000"/>
                <w:sz w:val="20"/>
              </w:rPr>
              <w:t xml:space="preserve"> </w:t>
            </w:r>
            <w:r>
              <w:rPr>
                <w:rStyle w:val="126"/>
                <w:rFonts w:ascii="Arial" w:hAnsi="Arial" w:cs="Arial"/>
                <w:color w:val="000000"/>
                <w:sz w:val="20"/>
              </w:rPr>
              <w:t>burimin</w:t>
            </w:r>
            <w:r>
              <w:rPr>
                <w:rFonts w:ascii="Arial" w:hAnsi="Arial" w:cs="Arial"/>
                <w:color w:val="000000"/>
                <w:sz w:val="20"/>
              </w:rPr>
              <w:t xml:space="preserve"> </w:t>
            </w:r>
            <w:r>
              <w:rPr>
                <w:rStyle w:val="126"/>
                <w:rFonts w:ascii="Arial" w:hAnsi="Arial" w:cs="Arial"/>
                <w:color w:val="000000"/>
                <w:sz w:val="20"/>
              </w:rPr>
              <w:t>e saj</w:t>
            </w:r>
            <w:r>
              <w:rPr>
                <w:rFonts w:ascii="Arial" w:hAnsi="Arial" w:cs="Arial"/>
                <w:color w:val="000000"/>
                <w:sz w:val="20"/>
              </w:rPr>
              <w:t xml:space="preserve">. Nëse </w:t>
            </w:r>
            <w:r>
              <w:rPr>
                <w:rStyle w:val="126"/>
                <w:rFonts w:ascii="Arial" w:hAnsi="Arial" w:cs="Arial"/>
                <w:color w:val="000000"/>
                <w:sz w:val="20"/>
              </w:rPr>
              <w:t>Autoriteti  kontraktues</w:t>
            </w:r>
            <w:r>
              <w:rPr>
                <w:rFonts w:ascii="Arial" w:hAnsi="Arial" w:cs="Arial"/>
                <w:color w:val="000000"/>
                <w:sz w:val="20"/>
              </w:rPr>
              <w:t xml:space="preserve"> e sheh</w:t>
            </w:r>
            <w:r>
              <w:rPr>
                <w:rStyle w:val="126"/>
                <w:rFonts w:ascii="Arial" w:hAnsi="Arial" w:cs="Arial"/>
                <w:color w:val="000000"/>
                <w:sz w:val="20"/>
              </w:rPr>
              <w:t xml:space="preserve"> të domosdoshme</w:t>
            </w:r>
            <w:r>
              <w:rPr>
                <w:rFonts w:ascii="Arial" w:hAnsi="Arial" w:cs="Arial"/>
                <w:color w:val="000000"/>
                <w:sz w:val="20"/>
              </w:rPr>
              <w:t xml:space="preserve"> </w:t>
            </w:r>
            <w:r>
              <w:rPr>
                <w:rStyle w:val="126"/>
                <w:rFonts w:ascii="Arial" w:hAnsi="Arial" w:cs="Arial"/>
                <w:color w:val="000000"/>
                <w:sz w:val="20"/>
              </w:rPr>
              <w:t>që te</w:t>
            </w:r>
            <w:r>
              <w:rPr>
                <w:rFonts w:ascii="Arial" w:hAnsi="Arial" w:cs="Arial"/>
                <w:color w:val="000000"/>
                <w:sz w:val="20"/>
              </w:rPr>
              <w:t xml:space="preserve"> </w:t>
            </w:r>
            <w:r>
              <w:rPr>
                <w:rStyle w:val="126"/>
                <w:rFonts w:ascii="Arial" w:hAnsi="Arial" w:cs="Arial"/>
                <w:color w:val="000000"/>
                <w:sz w:val="20"/>
              </w:rPr>
              <w:t>ndryshoj</w:t>
            </w:r>
            <w:r>
              <w:rPr>
                <w:rFonts w:ascii="Arial" w:hAnsi="Arial" w:cs="Arial"/>
                <w:color w:val="000000"/>
                <w:sz w:val="20"/>
              </w:rPr>
              <w:t xml:space="preserve">  </w:t>
            </w:r>
            <w:r>
              <w:rPr>
                <w:rStyle w:val="126"/>
                <w:rFonts w:ascii="Arial" w:hAnsi="Arial" w:cs="Arial"/>
                <w:color w:val="000000"/>
                <w:sz w:val="20"/>
              </w:rPr>
              <w:t>Dosjen së Tenderit</w:t>
            </w:r>
            <w:r>
              <w:rPr>
                <w:rFonts w:ascii="Arial" w:hAnsi="Arial" w:cs="Arial"/>
                <w:color w:val="000000"/>
                <w:sz w:val="20"/>
              </w:rPr>
              <w:t xml:space="preserve">, si rezultat </w:t>
            </w:r>
            <w:r>
              <w:rPr>
                <w:rStyle w:val="126"/>
                <w:rFonts w:ascii="Arial" w:hAnsi="Arial" w:cs="Arial"/>
                <w:color w:val="000000"/>
                <w:sz w:val="20"/>
              </w:rPr>
              <w:t>i</w:t>
            </w:r>
            <w:r>
              <w:rPr>
                <w:rFonts w:ascii="Arial" w:hAnsi="Arial" w:cs="Arial"/>
                <w:color w:val="000000"/>
                <w:sz w:val="20"/>
              </w:rPr>
              <w:t xml:space="preserve"> </w:t>
            </w:r>
            <w:r>
              <w:rPr>
                <w:rStyle w:val="126"/>
                <w:rFonts w:ascii="Arial" w:hAnsi="Arial" w:cs="Arial"/>
                <w:color w:val="000000"/>
                <w:sz w:val="20"/>
              </w:rPr>
              <w:t>sqarimit</w:t>
            </w:r>
            <w:r>
              <w:rPr>
                <w:rFonts w:ascii="Arial" w:hAnsi="Arial" w:cs="Arial"/>
                <w:color w:val="000000"/>
                <w:sz w:val="20"/>
              </w:rPr>
              <w:t xml:space="preserve">, </w:t>
            </w:r>
            <w:r>
              <w:rPr>
                <w:rStyle w:val="126"/>
                <w:rFonts w:ascii="Arial" w:hAnsi="Arial" w:cs="Arial"/>
                <w:color w:val="000000"/>
                <w:sz w:val="20"/>
              </w:rPr>
              <w:t>atëherë duhet ta bëjë</w:t>
            </w:r>
            <w:r>
              <w:rPr>
                <w:rFonts w:ascii="Arial" w:hAnsi="Arial" w:cs="Arial"/>
                <w:color w:val="000000"/>
                <w:sz w:val="20"/>
              </w:rPr>
              <w:t xml:space="preserve"> këtë </w:t>
            </w:r>
            <w:r>
              <w:rPr>
                <w:rStyle w:val="126"/>
                <w:rFonts w:ascii="Arial" w:hAnsi="Arial" w:cs="Arial"/>
                <w:color w:val="000000"/>
                <w:sz w:val="20"/>
              </w:rPr>
              <w:t>sipas procedurës</w:t>
            </w:r>
            <w:r>
              <w:rPr>
                <w:rFonts w:ascii="Arial" w:hAnsi="Arial" w:cs="Arial"/>
                <w:color w:val="000000"/>
                <w:sz w:val="20"/>
              </w:rPr>
              <w:t xml:space="preserve"> se përcaktuar ne Nenin 17 te I</w:t>
            </w:r>
            <w:r>
              <w:rPr>
                <w:rStyle w:val="126"/>
                <w:rFonts w:ascii="Arial" w:hAnsi="Arial" w:cs="Arial"/>
                <w:color w:val="000000"/>
                <w:sz w:val="20"/>
              </w:rPr>
              <w:t>nformatave për</w:t>
            </w:r>
            <w:r>
              <w:rPr>
                <w:rFonts w:ascii="Arial" w:hAnsi="Arial" w:cs="Arial"/>
                <w:color w:val="000000"/>
                <w:sz w:val="20"/>
              </w:rPr>
              <w:t xml:space="preserve"> </w:t>
            </w:r>
            <w:r>
              <w:rPr>
                <w:rStyle w:val="126"/>
                <w:rFonts w:ascii="Arial" w:hAnsi="Arial" w:cs="Arial"/>
                <w:color w:val="000000"/>
                <w:sz w:val="20"/>
              </w:rPr>
              <w:t>Tenderuesit.</w:t>
            </w:r>
          </w:p>
          <w:p w14:paraId="4850D7F1">
            <w:pPr>
              <w:spacing w:after="0"/>
              <w:textAlignment w:val="top"/>
              <w:rPr>
                <w:rFonts w:ascii="Arial" w:hAnsi="Arial" w:cs="Arial"/>
                <w:color w:val="000000"/>
                <w:sz w:val="20"/>
              </w:rPr>
            </w:pPr>
          </w:p>
        </w:tc>
      </w:tr>
      <w:tr w14:paraId="52E55808">
        <w:tblPrEx>
          <w:tblCellMar>
            <w:top w:w="0" w:type="dxa"/>
            <w:left w:w="108" w:type="dxa"/>
            <w:bottom w:w="0" w:type="dxa"/>
            <w:right w:w="108" w:type="dxa"/>
          </w:tblCellMar>
        </w:tblPrEx>
        <w:trPr>
          <w:jc w:val="center"/>
        </w:trPr>
        <w:tc>
          <w:tcPr>
            <w:tcW w:w="2120" w:type="dxa"/>
          </w:tcPr>
          <w:p w14:paraId="1F2DDEBA">
            <w:pPr>
              <w:pStyle w:val="112"/>
              <w:spacing w:before="0" w:after="200"/>
              <w:ind w:left="0" w:firstLine="0"/>
              <w:rPr>
                <w:rFonts w:ascii="Arial" w:hAnsi="Arial" w:cs="Arial"/>
                <w:sz w:val="20"/>
                <w:lang w:val="sq-AL"/>
              </w:rPr>
            </w:pPr>
            <w:bookmarkStart w:id="43" w:name="_Toc61936844"/>
            <w:bookmarkStart w:id="44" w:name="_Toc438733972"/>
            <w:bookmarkStart w:id="45" w:name="_Toc438907012"/>
            <w:bookmarkStart w:id="46" w:name="_Toc438907211"/>
            <w:bookmarkStart w:id="47" w:name="_Toc438532576"/>
            <w:bookmarkStart w:id="48" w:name="_Toc438438828"/>
            <w:r>
              <w:rPr>
                <w:rFonts w:ascii="Arial" w:hAnsi="Arial" w:cs="Arial"/>
                <w:sz w:val="20"/>
                <w:lang w:val="sq-AL"/>
              </w:rPr>
              <w:t>17. Ndryshimi i Dosjes se Tenderit</w:t>
            </w:r>
          </w:p>
          <w:p w14:paraId="3DC64F13">
            <w:pPr>
              <w:pStyle w:val="112"/>
              <w:spacing w:before="0" w:after="200"/>
              <w:ind w:left="0" w:firstLine="0"/>
              <w:rPr>
                <w:rFonts w:ascii="Arial" w:hAnsi="Arial" w:cs="Arial"/>
                <w:sz w:val="20"/>
                <w:lang w:val="sq-AL"/>
              </w:rPr>
            </w:pPr>
            <w:r>
              <w:rPr>
                <w:rFonts w:ascii="Arial" w:hAnsi="Arial" w:cs="Arial"/>
                <w:sz w:val="20"/>
                <w:lang w:val="sq-AL"/>
              </w:rPr>
              <w:t xml:space="preserve"> </w:t>
            </w:r>
            <w:bookmarkEnd w:id="43"/>
            <w:bookmarkEnd w:id="44"/>
            <w:bookmarkEnd w:id="45"/>
            <w:bookmarkEnd w:id="46"/>
            <w:bookmarkEnd w:id="47"/>
            <w:bookmarkEnd w:id="48"/>
          </w:p>
        </w:tc>
        <w:tc>
          <w:tcPr>
            <w:tcW w:w="6405" w:type="dxa"/>
          </w:tcPr>
          <w:p w14:paraId="7BD46D02">
            <w:pPr>
              <w:spacing w:after="0"/>
              <w:textAlignment w:val="top"/>
              <w:rPr>
                <w:rFonts w:ascii="Arial" w:hAnsi="Arial" w:cs="Arial"/>
                <w:color w:val="000000"/>
                <w:sz w:val="20"/>
              </w:rPr>
            </w:pPr>
            <w:r>
              <w:rPr>
                <w:rStyle w:val="126"/>
                <w:rFonts w:ascii="Arial" w:hAnsi="Arial" w:cs="Arial"/>
                <w:color w:val="000000"/>
                <w:sz w:val="20"/>
              </w:rPr>
              <w:t>17.1</w:t>
            </w:r>
            <w:r>
              <w:rPr>
                <w:rFonts w:ascii="Arial" w:hAnsi="Arial" w:cs="Arial"/>
                <w:color w:val="000000"/>
                <w:sz w:val="20"/>
              </w:rPr>
              <w:t xml:space="preserve"> </w:t>
            </w:r>
            <w:r>
              <w:rPr>
                <w:rStyle w:val="126"/>
                <w:rFonts w:ascii="Arial" w:hAnsi="Arial" w:cs="Arial"/>
                <w:color w:val="000000"/>
                <w:sz w:val="20"/>
              </w:rPr>
              <w:t>Në çdo</w:t>
            </w:r>
            <w:r>
              <w:rPr>
                <w:rFonts w:ascii="Arial" w:hAnsi="Arial" w:cs="Arial"/>
                <w:color w:val="000000"/>
                <w:sz w:val="20"/>
              </w:rPr>
              <w:t xml:space="preserve"> </w:t>
            </w:r>
            <w:r>
              <w:rPr>
                <w:rStyle w:val="126"/>
                <w:rFonts w:ascii="Arial" w:hAnsi="Arial" w:cs="Arial"/>
                <w:color w:val="000000"/>
                <w:sz w:val="20"/>
              </w:rPr>
              <w:t>kohë</w:t>
            </w:r>
            <w:r>
              <w:rPr>
                <w:rFonts w:ascii="Arial" w:hAnsi="Arial" w:cs="Arial"/>
                <w:color w:val="000000"/>
                <w:sz w:val="20"/>
              </w:rPr>
              <w:t xml:space="preserve"> </w:t>
            </w:r>
            <w:r>
              <w:rPr>
                <w:rStyle w:val="126"/>
                <w:rFonts w:ascii="Arial" w:hAnsi="Arial" w:cs="Arial"/>
                <w:color w:val="000000"/>
                <w:sz w:val="20"/>
              </w:rPr>
              <w:t>para skadimit të afatit</w:t>
            </w:r>
            <w:r>
              <w:rPr>
                <w:rFonts w:ascii="Arial" w:hAnsi="Arial" w:cs="Arial"/>
                <w:color w:val="000000"/>
                <w:sz w:val="20"/>
              </w:rPr>
              <w:t xml:space="preserve"> te fundit </w:t>
            </w:r>
            <w:r>
              <w:rPr>
                <w:rStyle w:val="126"/>
                <w:rFonts w:ascii="Arial" w:hAnsi="Arial" w:cs="Arial"/>
                <w:color w:val="000000"/>
                <w:sz w:val="20"/>
              </w:rPr>
              <w:t>për dorëzimin</w:t>
            </w:r>
            <w:r>
              <w:rPr>
                <w:rFonts w:ascii="Arial" w:hAnsi="Arial" w:cs="Arial"/>
                <w:color w:val="000000"/>
                <w:sz w:val="20"/>
              </w:rPr>
              <w:t xml:space="preserve"> </w:t>
            </w:r>
            <w:r>
              <w:rPr>
                <w:rStyle w:val="126"/>
                <w:rFonts w:ascii="Arial" w:hAnsi="Arial" w:cs="Arial"/>
                <w:color w:val="000000"/>
                <w:sz w:val="20"/>
              </w:rPr>
              <w:t>e tenderëve</w:t>
            </w:r>
            <w:r>
              <w:rPr>
                <w:rFonts w:ascii="Arial" w:hAnsi="Arial" w:cs="Arial"/>
                <w:color w:val="000000"/>
                <w:sz w:val="20"/>
              </w:rPr>
              <w:t>,  A</w:t>
            </w:r>
            <w:r>
              <w:rPr>
                <w:rStyle w:val="126"/>
                <w:rFonts w:ascii="Arial" w:hAnsi="Arial" w:cs="Arial"/>
                <w:color w:val="000000"/>
                <w:sz w:val="20"/>
              </w:rPr>
              <w:t>utoriteti Kontraktues</w:t>
            </w:r>
            <w:r>
              <w:rPr>
                <w:rFonts w:ascii="Arial" w:hAnsi="Arial" w:cs="Arial"/>
                <w:color w:val="000000"/>
                <w:sz w:val="20"/>
              </w:rPr>
              <w:t xml:space="preserve"> </w:t>
            </w:r>
            <w:r>
              <w:rPr>
                <w:rStyle w:val="126"/>
                <w:rFonts w:ascii="Arial" w:hAnsi="Arial" w:cs="Arial"/>
                <w:color w:val="000000"/>
                <w:sz w:val="20"/>
              </w:rPr>
              <w:t>mund</w:t>
            </w:r>
            <w:r>
              <w:rPr>
                <w:rFonts w:ascii="Arial" w:hAnsi="Arial" w:cs="Arial"/>
                <w:color w:val="000000"/>
                <w:sz w:val="20"/>
              </w:rPr>
              <w:t xml:space="preserve"> </w:t>
            </w:r>
            <w:r>
              <w:rPr>
                <w:rStyle w:val="126"/>
                <w:rFonts w:ascii="Arial" w:hAnsi="Arial" w:cs="Arial"/>
                <w:color w:val="000000"/>
                <w:sz w:val="20"/>
              </w:rPr>
              <w:t>të ndryshojë</w:t>
            </w:r>
            <w:r>
              <w:rPr>
                <w:rFonts w:ascii="Arial" w:hAnsi="Arial" w:cs="Arial"/>
                <w:color w:val="000000"/>
                <w:sz w:val="20"/>
              </w:rPr>
              <w:t xml:space="preserve"> </w:t>
            </w:r>
            <w:r>
              <w:rPr>
                <w:rStyle w:val="126"/>
                <w:rFonts w:ascii="Arial" w:hAnsi="Arial" w:cs="Arial"/>
                <w:color w:val="000000"/>
                <w:sz w:val="20"/>
              </w:rPr>
              <w:t>Dosjen e  Tenderit</w:t>
            </w:r>
            <w:r>
              <w:rPr>
                <w:rFonts w:ascii="Arial" w:hAnsi="Arial" w:cs="Arial"/>
                <w:color w:val="000000"/>
                <w:sz w:val="20"/>
              </w:rPr>
              <w:t xml:space="preserve"> </w:t>
            </w:r>
            <w:r>
              <w:rPr>
                <w:rStyle w:val="126"/>
                <w:rFonts w:ascii="Arial" w:hAnsi="Arial" w:cs="Arial"/>
                <w:color w:val="000000"/>
                <w:sz w:val="20"/>
              </w:rPr>
              <w:t>duke lëshuar</w:t>
            </w:r>
            <w:r>
              <w:rPr>
                <w:rFonts w:ascii="Arial" w:hAnsi="Arial" w:cs="Arial"/>
                <w:color w:val="000000"/>
                <w:sz w:val="20"/>
              </w:rPr>
              <w:t xml:space="preserve"> </w:t>
            </w:r>
            <w:r>
              <w:rPr>
                <w:rStyle w:val="126"/>
                <w:rFonts w:ascii="Arial" w:hAnsi="Arial" w:cs="Arial"/>
                <w:color w:val="000000"/>
                <w:sz w:val="20"/>
              </w:rPr>
              <w:t>një</w:t>
            </w:r>
            <w:r>
              <w:rPr>
                <w:rFonts w:ascii="Arial" w:hAnsi="Arial" w:cs="Arial"/>
                <w:sz w:val="20"/>
              </w:rPr>
              <w:t xml:space="preserve"> </w:t>
            </w:r>
            <w:r>
              <w:rPr>
                <w:rStyle w:val="126"/>
                <w:rFonts w:ascii="Arial" w:hAnsi="Arial" w:cs="Arial"/>
                <w:color w:val="000000"/>
                <w:sz w:val="20"/>
              </w:rPr>
              <w:t>shtojcë</w:t>
            </w:r>
            <w:r>
              <w:rPr>
                <w:rFonts w:ascii="Arial" w:hAnsi="Arial" w:cs="Arial"/>
                <w:color w:val="000000"/>
                <w:sz w:val="20"/>
              </w:rPr>
              <w:t>.</w:t>
            </w:r>
          </w:p>
          <w:p w14:paraId="1F66CF27">
            <w:pPr>
              <w:spacing w:after="0"/>
              <w:ind w:left="2210" w:firstLine="170"/>
              <w:textAlignment w:val="top"/>
              <w:rPr>
                <w:rFonts w:ascii="Arial" w:hAnsi="Arial" w:cs="Arial"/>
                <w:color w:val="000000"/>
                <w:sz w:val="20"/>
                <w:lang w:eastAsia="en-US"/>
              </w:rPr>
            </w:pPr>
          </w:p>
          <w:p w14:paraId="4625D486">
            <w:pPr>
              <w:spacing w:after="0"/>
              <w:textAlignment w:val="top"/>
              <w:rPr>
                <w:rFonts w:ascii="Arial" w:hAnsi="Arial" w:cs="Arial"/>
                <w:color w:val="000000"/>
                <w:sz w:val="20"/>
                <w:lang w:eastAsia="en-US"/>
              </w:rPr>
            </w:pPr>
            <w:r>
              <w:rPr>
                <w:rFonts w:ascii="Arial" w:hAnsi="Arial" w:cs="Arial"/>
                <w:color w:val="000000"/>
                <w:sz w:val="20"/>
                <w:lang w:eastAsia="en-US"/>
              </w:rPr>
              <w:t>17.2 Çdo shtojcë e lëshuar do të jetë pjesë e Dosjes së Tenderit dhe do t'i komunikohet me shkrim të gjithë operatorëve ekonomik që kanë marrë Dosjen e Tenderit.</w:t>
            </w:r>
          </w:p>
          <w:p w14:paraId="3456EBDA">
            <w:pPr>
              <w:spacing w:after="0"/>
              <w:ind w:left="2380"/>
              <w:textAlignment w:val="top"/>
              <w:rPr>
                <w:rFonts w:ascii="Arial" w:hAnsi="Arial" w:cs="Arial"/>
                <w:color w:val="000000"/>
                <w:sz w:val="20"/>
                <w:lang w:eastAsia="en-US"/>
              </w:rPr>
            </w:pPr>
          </w:p>
          <w:p w14:paraId="05A2D581">
            <w:pPr>
              <w:spacing w:after="0"/>
              <w:textAlignment w:val="top"/>
              <w:rPr>
                <w:rFonts w:ascii="Arial" w:hAnsi="Arial" w:cs="Arial"/>
                <w:color w:val="000000"/>
                <w:sz w:val="20"/>
              </w:rPr>
            </w:pPr>
            <w:r>
              <w:rPr>
                <w:rStyle w:val="126"/>
                <w:rFonts w:ascii="Arial" w:hAnsi="Arial" w:cs="Arial"/>
                <w:color w:val="000000"/>
                <w:sz w:val="20"/>
              </w:rPr>
              <w:t>17.3</w:t>
            </w:r>
            <w:r>
              <w:rPr>
                <w:rFonts w:ascii="Arial" w:hAnsi="Arial" w:cs="Arial"/>
                <w:color w:val="000000"/>
                <w:sz w:val="20"/>
              </w:rPr>
              <w:t xml:space="preserve"> </w:t>
            </w:r>
            <w:r>
              <w:rPr>
                <w:rStyle w:val="126"/>
                <w:rFonts w:ascii="Arial" w:hAnsi="Arial" w:cs="Arial"/>
                <w:color w:val="000000"/>
                <w:sz w:val="20"/>
              </w:rPr>
              <w:t>Për t’iu</w:t>
            </w:r>
            <w:r>
              <w:rPr>
                <w:rFonts w:ascii="Arial" w:hAnsi="Arial" w:cs="Arial"/>
                <w:color w:val="000000"/>
                <w:sz w:val="20"/>
              </w:rPr>
              <w:t xml:space="preserve"> </w:t>
            </w:r>
            <w:r>
              <w:rPr>
                <w:rStyle w:val="126"/>
                <w:rFonts w:ascii="Arial" w:hAnsi="Arial" w:cs="Arial"/>
                <w:color w:val="000000"/>
                <w:sz w:val="20"/>
              </w:rPr>
              <w:t>dhënë</w:t>
            </w:r>
            <w:r>
              <w:rPr>
                <w:rFonts w:ascii="Arial" w:hAnsi="Arial" w:cs="Arial"/>
                <w:color w:val="000000"/>
                <w:sz w:val="20"/>
              </w:rPr>
              <w:t xml:space="preserve"> tenderuesve </w:t>
            </w:r>
            <w:r>
              <w:rPr>
                <w:rStyle w:val="126"/>
                <w:rFonts w:ascii="Arial" w:hAnsi="Arial" w:cs="Arial"/>
                <w:color w:val="000000"/>
                <w:sz w:val="20"/>
              </w:rPr>
              <w:t>të mundshëm</w:t>
            </w:r>
            <w:r>
              <w:rPr>
                <w:rFonts w:ascii="Arial" w:hAnsi="Arial" w:cs="Arial"/>
                <w:color w:val="000000"/>
                <w:sz w:val="20"/>
              </w:rPr>
              <w:t xml:space="preserve"> </w:t>
            </w:r>
            <w:r>
              <w:rPr>
                <w:rStyle w:val="126"/>
                <w:rFonts w:ascii="Arial" w:hAnsi="Arial" w:cs="Arial"/>
                <w:color w:val="000000"/>
                <w:sz w:val="20"/>
              </w:rPr>
              <w:t>kohe</w:t>
            </w:r>
            <w:r>
              <w:rPr>
                <w:rFonts w:ascii="Arial" w:hAnsi="Arial" w:cs="Arial"/>
                <w:color w:val="000000"/>
                <w:sz w:val="20"/>
              </w:rPr>
              <w:t xml:space="preserve"> </w:t>
            </w:r>
            <w:r>
              <w:rPr>
                <w:rStyle w:val="126"/>
                <w:rFonts w:ascii="Arial" w:hAnsi="Arial" w:cs="Arial"/>
                <w:color w:val="000000"/>
                <w:sz w:val="20"/>
              </w:rPr>
              <w:t>të mjaftueshme</w:t>
            </w:r>
            <w:r>
              <w:rPr>
                <w:rFonts w:ascii="Arial" w:hAnsi="Arial" w:cs="Arial"/>
                <w:color w:val="000000"/>
                <w:sz w:val="20"/>
              </w:rPr>
              <w:t xml:space="preserve"> </w:t>
            </w:r>
            <w:r>
              <w:rPr>
                <w:rStyle w:val="126"/>
                <w:rFonts w:ascii="Arial" w:hAnsi="Arial" w:cs="Arial"/>
                <w:color w:val="000000"/>
                <w:sz w:val="20"/>
              </w:rPr>
              <w:t>për të</w:t>
            </w:r>
            <w:r>
              <w:rPr>
                <w:rFonts w:ascii="Arial" w:hAnsi="Arial" w:cs="Arial"/>
                <w:color w:val="000000"/>
                <w:sz w:val="20"/>
              </w:rPr>
              <w:t xml:space="preserve"> </w:t>
            </w:r>
            <w:r>
              <w:rPr>
                <w:rStyle w:val="126"/>
                <w:rFonts w:ascii="Arial" w:hAnsi="Arial" w:cs="Arial"/>
                <w:color w:val="000000"/>
                <w:sz w:val="20"/>
              </w:rPr>
              <w:t>marrë</w:t>
            </w:r>
            <w:r>
              <w:rPr>
                <w:rFonts w:ascii="Arial" w:hAnsi="Arial" w:cs="Arial"/>
                <w:color w:val="000000"/>
                <w:sz w:val="20"/>
              </w:rPr>
              <w:t xml:space="preserve"> parasysh </w:t>
            </w:r>
            <w:r>
              <w:rPr>
                <w:rStyle w:val="126"/>
                <w:rFonts w:ascii="Arial" w:hAnsi="Arial" w:cs="Arial"/>
                <w:color w:val="000000"/>
                <w:sz w:val="20"/>
              </w:rPr>
              <w:t>shtesën</w:t>
            </w:r>
            <w:r>
              <w:rPr>
                <w:rFonts w:ascii="Arial" w:hAnsi="Arial" w:cs="Arial"/>
                <w:color w:val="000000"/>
                <w:sz w:val="20"/>
              </w:rPr>
              <w:t xml:space="preserve">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përgatitjen e</w:t>
            </w:r>
            <w:r>
              <w:rPr>
                <w:rFonts w:ascii="Arial" w:hAnsi="Arial" w:cs="Arial"/>
                <w:color w:val="000000"/>
                <w:sz w:val="20"/>
              </w:rPr>
              <w:t xml:space="preserve"> </w:t>
            </w:r>
            <w:r>
              <w:rPr>
                <w:rStyle w:val="126"/>
                <w:rFonts w:ascii="Arial" w:hAnsi="Arial" w:cs="Arial"/>
                <w:color w:val="000000"/>
                <w:sz w:val="20"/>
              </w:rPr>
              <w:t>ofertave</w:t>
            </w:r>
            <w:r>
              <w:rPr>
                <w:rFonts w:ascii="Arial" w:hAnsi="Arial" w:cs="Arial"/>
                <w:color w:val="000000"/>
                <w:sz w:val="20"/>
              </w:rPr>
              <w:t xml:space="preserve"> </w:t>
            </w:r>
            <w:r>
              <w:rPr>
                <w:rStyle w:val="126"/>
                <w:rFonts w:ascii="Arial" w:hAnsi="Arial" w:cs="Arial"/>
                <w:color w:val="000000"/>
                <w:sz w:val="20"/>
              </w:rPr>
              <w:t>të tyre</w:t>
            </w:r>
            <w:r>
              <w:rPr>
                <w:rFonts w:ascii="Arial" w:hAnsi="Arial" w:cs="Arial"/>
                <w:color w:val="000000"/>
                <w:sz w:val="20"/>
              </w:rPr>
              <w:t xml:space="preserve">, </w:t>
            </w:r>
            <w:r>
              <w:rPr>
                <w:rStyle w:val="126"/>
                <w:rFonts w:ascii="Arial" w:hAnsi="Arial" w:cs="Arial"/>
                <w:color w:val="000000"/>
                <w:sz w:val="20"/>
              </w:rPr>
              <w:t>Autoriteti Kontraktues do të</w:t>
            </w:r>
            <w:r>
              <w:rPr>
                <w:rFonts w:ascii="Arial" w:hAnsi="Arial" w:cs="Arial"/>
                <w:color w:val="000000"/>
                <w:sz w:val="20"/>
              </w:rPr>
              <w:t xml:space="preserve"> </w:t>
            </w:r>
            <w:r>
              <w:rPr>
                <w:rStyle w:val="126"/>
                <w:rFonts w:ascii="Arial" w:hAnsi="Arial" w:cs="Arial"/>
                <w:color w:val="000000"/>
                <w:sz w:val="20"/>
              </w:rPr>
              <w:t>zgjasë afatin kohor për</w:t>
            </w:r>
            <w:r>
              <w:rPr>
                <w:rFonts w:ascii="Arial" w:hAnsi="Arial" w:cs="Arial"/>
                <w:color w:val="000000"/>
                <w:sz w:val="20"/>
              </w:rPr>
              <w:t xml:space="preserve"> </w:t>
            </w:r>
            <w:r>
              <w:rPr>
                <w:rStyle w:val="126"/>
                <w:rFonts w:ascii="Arial" w:hAnsi="Arial" w:cs="Arial"/>
                <w:color w:val="000000"/>
                <w:sz w:val="20"/>
              </w:rPr>
              <w:t>dorëzimin e tenderëve</w:t>
            </w:r>
            <w:r>
              <w:rPr>
                <w:rFonts w:ascii="Arial" w:hAnsi="Arial" w:cs="Arial"/>
                <w:color w:val="000000"/>
                <w:sz w:val="20"/>
              </w:rPr>
              <w:t xml:space="preserve"> </w:t>
            </w:r>
            <w:r>
              <w:rPr>
                <w:rStyle w:val="126"/>
                <w:rFonts w:ascii="Arial" w:hAnsi="Arial" w:cs="Arial"/>
                <w:color w:val="000000"/>
                <w:sz w:val="20"/>
              </w:rPr>
              <w:t>në përputhje</w:t>
            </w:r>
            <w:r>
              <w:rPr>
                <w:rFonts w:ascii="Arial" w:hAnsi="Arial" w:cs="Arial"/>
                <w:color w:val="000000"/>
                <w:sz w:val="20"/>
              </w:rPr>
              <w:t xml:space="preserve"> </w:t>
            </w:r>
            <w:r>
              <w:rPr>
                <w:rStyle w:val="126"/>
                <w:rFonts w:ascii="Arial" w:hAnsi="Arial" w:cs="Arial"/>
                <w:color w:val="000000"/>
                <w:sz w:val="20"/>
              </w:rPr>
              <w:t>me</w:t>
            </w:r>
            <w:r>
              <w:rPr>
                <w:rFonts w:ascii="Arial" w:hAnsi="Arial" w:cs="Arial"/>
                <w:color w:val="000000"/>
                <w:sz w:val="20"/>
              </w:rPr>
              <w:t xml:space="preserve"> </w:t>
            </w:r>
            <w:r>
              <w:rPr>
                <w:rStyle w:val="126"/>
                <w:rFonts w:ascii="Arial" w:hAnsi="Arial" w:cs="Arial"/>
                <w:color w:val="000000"/>
                <w:sz w:val="20"/>
              </w:rPr>
              <w:t>Nenin</w:t>
            </w:r>
            <w:r>
              <w:rPr>
                <w:rFonts w:ascii="Arial" w:hAnsi="Arial" w:cs="Arial"/>
                <w:color w:val="000000"/>
                <w:sz w:val="20"/>
              </w:rPr>
              <w:t xml:space="preserve"> </w:t>
            </w:r>
            <w:r>
              <w:rPr>
                <w:rStyle w:val="126"/>
                <w:rFonts w:ascii="Arial" w:hAnsi="Arial" w:cs="Arial"/>
                <w:color w:val="000000"/>
                <w:sz w:val="20"/>
              </w:rPr>
              <w:t>53</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LPP-së</w:t>
            </w:r>
            <w:r>
              <w:rPr>
                <w:rFonts w:ascii="Arial" w:hAnsi="Arial" w:cs="Arial"/>
                <w:color w:val="000000"/>
                <w:sz w:val="20"/>
              </w:rPr>
              <w:t>.</w:t>
            </w:r>
          </w:p>
        </w:tc>
      </w:tr>
      <w:tr w14:paraId="1BCCE376">
        <w:tblPrEx>
          <w:tblCellMar>
            <w:top w:w="0" w:type="dxa"/>
            <w:left w:w="108" w:type="dxa"/>
            <w:bottom w:w="0" w:type="dxa"/>
            <w:right w:w="108" w:type="dxa"/>
          </w:tblCellMar>
        </w:tblPrEx>
        <w:trPr>
          <w:jc w:val="center"/>
        </w:trPr>
        <w:tc>
          <w:tcPr>
            <w:tcW w:w="2120" w:type="dxa"/>
          </w:tcPr>
          <w:p w14:paraId="436EFE27">
            <w:pPr>
              <w:pStyle w:val="111"/>
              <w:tabs>
                <w:tab w:val="clear" w:pos="360"/>
              </w:tabs>
              <w:spacing w:before="0" w:after="200"/>
              <w:ind w:left="0" w:firstLine="0"/>
              <w:rPr>
                <w:rFonts w:ascii="Arial" w:hAnsi="Arial" w:cs="Arial"/>
                <w:sz w:val="20"/>
                <w:lang w:val="sq-AL"/>
              </w:rPr>
            </w:pPr>
          </w:p>
        </w:tc>
        <w:tc>
          <w:tcPr>
            <w:tcW w:w="6405" w:type="dxa"/>
          </w:tcPr>
          <w:p w14:paraId="1418F071">
            <w:pPr>
              <w:pStyle w:val="2"/>
              <w:spacing w:before="120" w:after="120"/>
              <w:rPr>
                <w:rFonts w:ascii="Arial" w:hAnsi="Arial" w:cs="Arial"/>
                <w:color w:val="888888"/>
                <w:sz w:val="24"/>
                <w:szCs w:val="24"/>
                <w:lang w:val="sq-AL" w:eastAsia="en-US"/>
              </w:rPr>
            </w:pPr>
            <w:bookmarkStart w:id="49" w:name="_Toc444607925"/>
            <w:bookmarkStart w:id="50" w:name="_Toc286833823"/>
            <w:r>
              <w:rPr>
                <w:rFonts w:ascii="Arial" w:hAnsi="Arial" w:cs="Arial"/>
                <w:sz w:val="24"/>
                <w:szCs w:val="24"/>
                <w:lang w:val="sq-AL"/>
              </w:rPr>
              <w:t>Përgatitja e TENDERIT</w:t>
            </w:r>
            <w:bookmarkEnd w:id="49"/>
            <w:bookmarkEnd w:id="50"/>
          </w:p>
        </w:tc>
      </w:tr>
      <w:tr w14:paraId="519EA174">
        <w:tblPrEx>
          <w:tblCellMar>
            <w:top w:w="0" w:type="dxa"/>
            <w:left w:w="108" w:type="dxa"/>
            <w:bottom w:w="0" w:type="dxa"/>
            <w:right w:w="108" w:type="dxa"/>
          </w:tblCellMar>
        </w:tblPrEx>
        <w:trPr>
          <w:jc w:val="center"/>
        </w:trPr>
        <w:tc>
          <w:tcPr>
            <w:tcW w:w="2120" w:type="dxa"/>
          </w:tcPr>
          <w:p w14:paraId="1E3EF97D">
            <w:pPr>
              <w:pStyle w:val="112"/>
              <w:spacing w:before="0" w:after="200"/>
              <w:ind w:left="0" w:firstLine="0"/>
              <w:rPr>
                <w:rFonts w:ascii="Arial" w:hAnsi="Arial" w:cs="Arial"/>
                <w:sz w:val="20"/>
                <w:lang w:val="sq-AL"/>
              </w:rPr>
            </w:pPr>
            <w:bookmarkStart w:id="51" w:name="_Toc438438831"/>
            <w:bookmarkStart w:id="52" w:name="_Toc61936847"/>
            <w:bookmarkStart w:id="53" w:name="_Toc438532579"/>
            <w:bookmarkStart w:id="54" w:name="_Toc438907014"/>
            <w:bookmarkStart w:id="55" w:name="_Toc438907213"/>
            <w:bookmarkStart w:id="56" w:name="_Toc438733975"/>
            <w:r>
              <w:rPr>
                <w:rFonts w:ascii="Arial" w:hAnsi="Arial" w:cs="Arial"/>
                <w:sz w:val="20"/>
                <w:lang w:val="sq-AL"/>
              </w:rPr>
              <w:t>18. Gjuha e Tenderit</w:t>
            </w:r>
            <w:bookmarkEnd w:id="51"/>
            <w:bookmarkEnd w:id="52"/>
            <w:bookmarkEnd w:id="53"/>
            <w:bookmarkEnd w:id="54"/>
            <w:bookmarkEnd w:id="55"/>
            <w:bookmarkEnd w:id="56"/>
          </w:p>
        </w:tc>
        <w:tc>
          <w:tcPr>
            <w:tcW w:w="6405" w:type="dxa"/>
          </w:tcPr>
          <w:p w14:paraId="70F5FF28">
            <w:pPr>
              <w:spacing w:after="0"/>
              <w:textAlignment w:val="top"/>
              <w:rPr>
                <w:rFonts w:ascii="Arial" w:hAnsi="Arial" w:cs="Arial"/>
                <w:color w:val="000000"/>
                <w:sz w:val="20"/>
              </w:rPr>
            </w:pPr>
            <w:r>
              <w:rPr>
                <w:rFonts w:ascii="Arial" w:hAnsi="Arial" w:cs="Arial"/>
                <w:color w:val="000000"/>
                <w:sz w:val="20"/>
              </w:rPr>
              <w:t>18.1 Operatorët Ekonomik mund të përgatisin dhe të dorëzojnë</w:t>
            </w:r>
            <w:r>
              <w:rPr>
                <w:rFonts w:ascii="Arial" w:hAnsi="Arial" w:cs="Arial"/>
                <w:b/>
                <w:color w:val="000000"/>
                <w:sz w:val="20"/>
              </w:rPr>
              <w:t xml:space="preserve"> </w:t>
            </w:r>
            <w:r>
              <w:rPr>
                <w:rFonts w:ascii="Arial" w:hAnsi="Arial" w:cs="Arial"/>
                <w:color w:val="000000"/>
                <w:sz w:val="20"/>
              </w:rPr>
              <w:t xml:space="preserve">tenderët e tyre dhe dokumentet e lidhura në gjuhën Shqipe, Serbe dhe Angleze.  </w:t>
            </w:r>
          </w:p>
          <w:p w14:paraId="284A9E10">
            <w:pPr>
              <w:spacing w:after="0"/>
              <w:textAlignment w:val="top"/>
              <w:rPr>
                <w:rFonts w:ascii="Arial" w:hAnsi="Arial" w:cs="Arial"/>
                <w:b/>
                <w:color w:val="000000"/>
                <w:sz w:val="20"/>
              </w:rPr>
            </w:pPr>
          </w:p>
        </w:tc>
      </w:tr>
      <w:tr w14:paraId="74EBBCB7">
        <w:tblPrEx>
          <w:tblCellMar>
            <w:top w:w="0" w:type="dxa"/>
            <w:left w:w="108" w:type="dxa"/>
            <w:bottom w:w="0" w:type="dxa"/>
            <w:right w:w="108" w:type="dxa"/>
          </w:tblCellMar>
        </w:tblPrEx>
        <w:trPr>
          <w:jc w:val="center"/>
        </w:trPr>
        <w:tc>
          <w:tcPr>
            <w:tcW w:w="2120" w:type="dxa"/>
          </w:tcPr>
          <w:p w14:paraId="4DA4D095">
            <w:pPr>
              <w:pStyle w:val="112"/>
              <w:spacing w:before="0" w:after="200"/>
              <w:ind w:left="0" w:firstLine="0"/>
              <w:rPr>
                <w:rFonts w:ascii="Arial" w:hAnsi="Arial" w:cs="Arial"/>
                <w:sz w:val="20"/>
                <w:lang w:val="sq-AL"/>
              </w:rPr>
            </w:pPr>
            <w:bookmarkStart w:id="57" w:name="_Toc438532580"/>
            <w:bookmarkStart w:id="58" w:name="_Toc438438832"/>
            <w:bookmarkStart w:id="59" w:name="_Toc438733976"/>
            <w:bookmarkStart w:id="60" w:name="_Toc438907015"/>
            <w:bookmarkStart w:id="61" w:name="_Toc438907214"/>
            <w:bookmarkStart w:id="62" w:name="_Toc61936848"/>
            <w:r>
              <w:rPr>
                <w:rFonts w:ascii="Arial" w:hAnsi="Arial" w:cs="Arial"/>
                <w:sz w:val="20"/>
                <w:lang w:val="sq-AL"/>
              </w:rPr>
              <w:t>19. Dokumentet qe përbejnë Tenderin</w:t>
            </w:r>
            <w:bookmarkEnd w:id="57"/>
            <w:bookmarkEnd w:id="58"/>
            <w:bookmarkEnd w:id="59"/>
            <w:bookmarkEnd w:id="60"/>
            <w:bookmarkEnd w:id="61"/>
            <w:bookmarkEnd w:id="62"/>
          </w:p>
        </w:tc>
        <w:tc>
          <w:tcPr>
            <w:tcW w:w="6405" w:type="dxa"/>
            <w:tcBorders>
              <w:bottom w:val="nil"/>
            </w:tcBorders>
          </w:tcPr>
          <w:p w14:paraId="46E2BE1E">
            <w:pPr>
              <w:spacing w:after="0"/>
              <w:textAlignment w:val="top"/>
              <w:rPr>
                <w:rFonts w:ascii="Arial" w:hAnsi="Arial" w:cs="Arial"/>
                <w:color w:val="000000"/>
                <w:sz w:val="20"/>
              </w:rPr>
            </w:pPr>
            <w:r>
              <w:rPr>
                <w:rFonts w:ascii="Arial" w:hAnsi="Arial" w:cs="Arial"/>
                <w:color w:val="000000"/>
                <w:sz w:val="20"/>
              </w:rPr>
              <w:t>19.1 Tenderi duhet të përmbaje si në vijim:</w:t>
            </w:r>
          </w:p>
          <w:p w14:paraId="03A46483">
            <w:pPr>
              <w:spacing w:after="0"/>
              <w:textAlignment w:val="top"/>
              <w:rPr>
                <w:rFonts w:ascii="Arial" w:hAnsi="Arial" w:cs="Arial"/>
                <w:b/>
                <w:color w:val="000000"/>
                <w:sz w:val="20"/>
              </w:rPr>
            </w:pPr>
          </w:p>
          <w:p w14:paraId="54B0A05F">
            <w:pPr>
              <w:spacing w:after="0"/>
              <w:textAlignment w:val="top"/>
              <w:rPr>
                <w:rFonts w:ascii="Arial" w:hAnsi="Arial" w:cs="Arial"/>
                <w:b/>
                <w:color w:val="000000"/>
                <w:sz w:val="20"/>
              </w:rPr>
            </w:pPr>
            <w:r>
              <w:rPr>
                <w:rFonts w:ascii="Arial" w:hAnsi="Arial" w:cs="Arial"/>
                <w:color w:val="000000"/>
                <w:sz w:val="20"/>
              </w:rPr>
              <w:t>a)   Formën e Tenderit dhe Përshkrimin e Çmimeve duke</w:t>
            </w:r>
            <w:r>
              <w:rPr>
                <w:rFonts w:ascii="Arial" w:hAnsi="Arial" w:cs="Arial"/>
                <w:b/>
                <w:color w:val="000000"/>
                <w:sz w:val="20"/>
              </w:rPr>
              <w:t xml:space="preserve"> </w:t>
            </w:r>
            <w:r>
              <w:rPr>
                <w:rFonts w:ascii="Arial" w:hAnsi="Arial" w:cs="Arial"/>
                <w:color w:val="000000"/>
                <w:sz w:val="20"/>
              </w:rPr>
              <w:t>përdorur format e dhëna në Pjesën C të kësaj Dosje të Tenderit;</w:t>
            </w:r>
          </w:p>
          <w:p w14:paraId="170551DA">
            <w:pPr>
              <w:spacing w:after="0"/>
              <w:textAlignment w:val="top"/>
              <w:rPr>
                <w:rFonts w:ascii="Arial" w:hAnsi="Arial" w:cs="Arial"/>
                <w:color w:val="000000"/>
                <w:sz w:val="20"/>
              </w:rPr>
            </w:pPr>
            <w:r>
              <w:rPr>
                <w:rFonts w:ascii="Arial" w:hAnsi="Arial" w:cs="Arial"/>
                <w:color w:val="000000"/>
                <w:sz w:val="20"/>
              </w:rPr>
              <w:t xml:space="preserve">b) Sigurimin e Tenderi, në përputhje me Informatat për Tenderuesit, Neni   13, </w:t>
            </w:r>
            <w:r>
              <w:rPr>
                <w:rFonts w:ascii="Arial" w:hAnsi="Arial" w:cs="Arial"/>
                <w:i/>
                <w:color w:val="000000"/>
                <w:sz w:val="20"/>
              </w:rPr>
              <w:t>nëse aplikohet;</w:t>
            </w:r>
          </w:p>
          <w:p w14:paraId="4221DCE8">
            <w:pPr>
              <w:spacing w:after="0"/>
              <w:textAlignment w:val="top"/>
              <w:rPr>
                <w:rFonts w:ascii="Arial" w:hAnsi="Arial" w:cs="Arial"/>
                <w:color w:val="000000"/>
                <w:sz w:val="20"/>
              </w:rPr>
            </w:pPr>
            <w:r>
              <w:rPr>
                <w:rFonts w:ascii="Arial" w:hAnsi="Arial" w:cs="Arial"/>
                <w:color w:val="000000"/>
                <w:sz w:val="20"/>
              </w:rPr>
              <w:t>c) Dokumentet dëshmuese në përputhje me Informatat për Tenderuesit,    Neni 6, evidentimi i përshtatshmërisë së Tenderuesit;</w:t>
            </w:r>
          </w:p>
          <w:p w14:paraId="2824796A">
            <w:pPr>
              <w:spacing w:after="0"/>
              <w:textAlignment w:val="top"/>
              <w:rPr>
                <w:rFonts w:ascii="Arial" w:hAnsi="Arial" w:cs="Arial"/>
                <w:color w:val="000000"/>
                <w:sz w:val="20"/>
              </w:rPr>
            </w:pPr>
            <w:r>
              <w:rPr>
                <w:rFonts w:ascii="Arial" w:hAnsi="Arial" w:cs="Arial"/>
                <w:color w:val="000000"/>
                <w:sz w:val="20"/>
              </w:rPr>
              <w:t xml:space="preserve">d) Dokumentet dëshmuese në përputhje me Informatat për Tenderuesit,   Neni 7, evidentimi i të përshtatshmërisë profesionale, </w:t>
            </w:r>
            <w:r>
              <w:rPr>
                <w:rFonts w:ascii="Arial" w:hAnsi="Arial" w:cs="Arial"/>
                <w:i/>
                <w:color w:val="000000"/>
                <w:sz w:val="20"/>
              </w:rPr>
              <w:t>nëse aplikohet</w:t>
            </w:r>
            <w:r>
              <w:rPr>
                <w:rFonts w:ascii="Arial" w:hAnsi="Arial" w:cs="Arial"/>
                <w:color w:val="000000"/>
                <w:sz w:val="20"/>
              </w:rPr>
              <w:t>;</w:t>
            </w:r>
          </w:p>
          <w:p w14:paraId="1A5295C7">
            <w:pPr>
              <w:spacing w:after="0"/>
              <w:textAlignment w:val="top"/>
              <w:rPr>
                <w:rFonts w:ascii="Arial" w:hAnsi="Arial" w:cs="Arial"/>
                <w:color w:val="000000"/>
                <w:sz w:val="20"/>
              </w:rPr>
            </w:pPr>
            <w:r>
              <w:rPr>
                <w:rFonts w:ascii="Arial" w:hAnsi="Arial" w:cs="Arial"/>
                <w:color w:val="000000"/>
                <w:sz w:val="20"/>
              </w:rPr>
              <w:t xml:space="preserve">e) Dokumentet dëshmuese në përputhje me Informatat për Tenderuesit, Neni 8, evidentimi i gjendjes ekonomike dhe financiare, </w:t>
            </w:r>
            <w:r>
              <w:rPr>
                <w:rFonts w:ascii="Arial" w:hAnsi="Arial" w:cs="Arial"/>
                <w:i/>
                <w:color w:val="000000"/>
                <w:sz w:val="20"/>
              </w:rPr>
              <w:t>nëse aplikohet</w:t>
            </w:r>
            <w:r>
              <w:rPr>
                <w:rFonts w:ascii="Arial" w:hAnsi="Arial" w:cs="Arial"/>
                <w:color w:val="000000"/>
                <w:sz w:val="20"/>
              </w:rPr>
              <w:t>;</w:t>
            </w:r>
          </w:p>
          <w:p w14:paraId="6D48A498">
            <w:pPr>
              <w:spacing w:after="0"/>
              <w:textAlignment w:val="top"/>
              <w:rPr>
                <w:rFonts w:ascii="Arial" w:hAnsi="Arial" w:cs="Arial"/>
                <w:color w:val="000000"/>
                <w:sz w:val="20"/>
              </w:rPr>
            </w:pPr>
            <w:r>
              <w:rPr>
                <w:rFonts w:ascii="Arial" w:hAnsi="Arial" w:cs="Arial"/>
                <w:color w:val="000000"/>
                <w:sz w:val="20"/>
              </w:rPr>
              <w:t xml:space="preserve">f) Dokumentet dëshmuese në përputhje me Informatat për Tenderuesit,  Neni 9,  evidentimi i mundësisë teknike dhe profesionale, </w:t>
            </w:r>
            <w:r>
              <w:rPr>
                <w:rFonts w:ascii="Arial" w:hAnsi="Arial" w:cs="Arial"/>
                <w:i/>
                <w:color w:val="000000"/>
                <w:sz w:val="20"/>
              </w:rPr>
              <w:t>nëse aplikohet</w:t>
            </w:r>
            <w:r>
              <w:rPr>
                <w:rFonts w:ascii="Arial" w:hAnsi="Arial" w:cs="Arial"/>
                <w:color w:val="000000"/>
                <w:sz w:val="20"/>
              </w:rPr>
              <w:t>;</w:t>
            </w:r>
          </w:p>
          <w:p w14:paraId="16DF48FE">
            <w:pPr>
              <w:spacing w:after="0"/>
              <w:textAlignment w:val="top"/>
              <w:rPr>
                <w:rFonts w:ascii="Arial" w:hAnsi="Arial" w:cs="Arial"/>
                <w:color w:val="000000"/>
                <w:sz w:val="20"/>
              </w:rPr>
            </w:pPr>
            <w:r>
              <w:rPr>
                <w:rFonts w:ascii="Arial" w:hAnsi="Arial" w:cs="Arial"/>
                <w:color w:val="000000"/>
                <w:sz w:val="20"/>
              </w:rPr>
              <w:t xml:space="preserve">g) Dokumentet dëshmuese në përputhje me Informatat për Tenderuesit, Neni  11 dhe 12, </w:t>
            </w:r>
            <w:r>
              <w:rPr>
                <w:rFonts w:ascii="Arial" w:hAnsi="Arial" w:cs="Arial"/>
                <w:i/>
                <w:color w:val="000000"/>
                <w:sz w:val="20"/>
              </w:rPr>
              <w:t>nëse aplikohet</w:t>
            </w:r>
            <w:r>
              <w:rPr>
                <w:rFonts w:ascii="Arial" w:hAnsi="Arial" w:cs="Arial"/>
                <w:color w:val="000000"/>
                <w:sz w:val="20"/>
              </w:rPr>
              <w:t xml:space="preserve">; dhe </w:t>
            </w:r>
          </w:p>
          <w:p w14:paraId="0EFFEFCC">
            <w:pPr>
              <w:spacing w:after="0"/>
              <w:textAlignment w:val="top"/>
              <w:rPr>
                <w:rFonts w:ascii="Arial" w:hAnsi="Arial" w:cs="Arial"/>
                <w:b/>
                <w:color w:val="000000"/>
                <w:sz w:val="20"/>
              </w:rPr>
            </w:pPr>
            <w:r>
              <w:rPr>
                <w:rFonts w:ascii="Arial" w:hAnsi="Arial" w:cs="Arial"/>
                <w:color w:val="000000"/>
                <w:sz w:val="20"/>
              </w:rPr>
              <w:t xml:space="preserve">h) Ndonjë dokument tjetër që </w:t>
            </w:r>
            <w:r>
              <w:rPr>
                <w:rFonts w:ascii="Arial" w:hAnsi="Arial" w:cs="Arial"/>
                <w:b/>
                <w:color w:val="000000"/>
                <w:sz w:val="20"/>
              </w:rPr>
              <w:t>kërkohet në FDT.</w:t>
            </w:r>
          </w:p>
          <w:p w14:paraId="0B9F2F71">
            <w:pPr>
              <w:spacing w:after="0"/>
              <w:textAlignment w:val="top"/>
              <w:rPr>
                <w:rFonts w:ascii="Arial" w:hAnsi="Arial" w:cs="Arial"/>
                <w:color w:val="000000"/>
                <w:sz w:val="20"/>
              </w:rPr>
            </w:pPr>
          </w:p>
        </w:tc>
      </w:tr>
      <w:tr w14:paraId="68ACD36D">
        <w:tblPrEx>
          <w:tblCellMar>
            <w:top w:w="0" w:type="dxa"/>
            <w:left w:w="108" w:type="dxa"/>
            <w:bottom w:w="0" w:type="dxa"/>
            <w:right w:w="108" w:type="dxa"/>
          </w:tblCellMar>
        </w:tblPrEx>
        <w:trPr>
          <w:jc w:val="center"/>
        </w:trPr>
        <w:tc>
          <w:tcPr>
            <w:tcW w:w="2120" w:type="dxa"/>
          </w:tcPr>
          <w:p w14:paraId="12B3C14D">
            <w:pPr>
              <w:pStyle w:val="112"/>
              <w:spacing w:before="0" w:after="200"/>
              <w:ind w:left="0" w:firstLine="0"/>
              <w:rPr>
                <w:rFonts w:ascii="Arial" w:hAnsi="Arial" w:cs="Arial"/>
                <w:sz w:val="20"/>
                <w:lang w:val="sq-AL"/>
              </w:rPr>
            </w:pPr>
            <w:bookmarkStart w:id="63" w:name="_Toc438907217"/>
            <w:bookmarkStart w:id="64" w:name="_Toc438733979"/>
            <w:bookmarkStart w:id="65" w:name="_Toc438438835"/>
            <w:bookmarkStart w:id="66" w:name="_Toc438532588"/>
            <w:bookmarkStart w:id="67" w:name="_Toc438907018"/>
            <w:bookmarkStart w:id="68" w:name="_Toc61936851"/>
            <w:r>
              <w:rPr>
                <w:rFonts w:ascii="Arial" w:hAnsi="Arial" w:cs="Arial"/>
                <w:sz w:val="20"/>
                <w:lang w:val="sq-AL"/>
              </w:rPr>
              <w:t xml:space="preserve">20. Valuta dhe </w:t>
            </w:r>
            <w:r>
              <w:rPr>
                <w:rFonts w:ascii="Arial" w:hAnsi="Arial" w:cs="Arial"/>
                <w:color w:val="000000"/>
                <w:sz w:val="20"/>
                <w:lang w:val="sq-AL"/>
              </w:rPr>
              <w:t>Kalkulimi i Çmimit</w:t>
            </w:r>
            <w:r>
              <w:rPr>
                <w:rFonts w:ascii="Arial" w:hAnsi="Arial" w:cs="Arial"/>
                <w:sz w:val="20"/>
                <w:lang w:val="sq-AL"/>
              </w:rPr>
              <w:t xml:space="preserve">   </w:t>
            </w:r>
            <w:bookmarkEnd w:id="63"/>
            <w:bookmarkEnd w:id="64"/>
            <w:bookmarkEnd w:id="65"/>
            <w:bookmarkEnd w:id="66"/>
            <w:bookmarkEnd w:id="67"/>
            <w:bookmarkEnd w:id="68"/>
          </w:p>
        </w:tc>
        <w:tc>
          <w:tcPr>
            <w:tcW w:w="6405" w:type="dxa"/>
            <w:tcBorders>
              <w:bottom w:val="nil"/>
            </w:tcBorders>
          </w:tcPr>
          <w:p w14:paraId="150B7487">
            <w:pPr>
              <w:spacing w:after="0"/>
              <w:textAlignment w:val="top"/>
              <w:rPr>
                <w:rFonts w:ascii="Arial" w:hAnsi="Arial" w:cs="Arial"/>
                <w:color w:val="000000"/>
                <w:sz w:val="20"/>
              </w:rPr>
            </w:pPr>
            <w:r>
              <w:rPr>
                <w:rFonts w:ascii="Arial" w:hAnsi="Arial" w:cs="Arial"/>
                <w:color w:val="000000"/>
                <w:sz w:val="20"/>
              </w:rPr>
              <w:t xml:space="preserve">20.1 Të gjitha çmimet e specifikuara në tender duhet të deklarohen në Euro </w:t>
            </w:r>
            <w:r>
              <w:rPr>
                <w:rFonts w:ascii="Arial" w:hAnsi="Arial" w:cs="Arial"/>
                <w:b/>
                <w:color w:val="000000"/>
                <w:sz w:val="20"/>
              </w:rPr>
              <w:t xml:space="preserve">(€).  </w:t>
            </w:r>
            <w:r>
              <w:rPr>
                <w:rFonts w:ascii="Arial" w:hAnsi="Arial" w:cs="Arial"/>
                <w:b/>
                <w:sz w:val="20"/>
              </w:rPr>
              <w:t xml:space="preserve">Çmimi i ofertuar </w:t>
            </w:r>
            <w:r>
              <w:rPr>
                <w:rFonts w:ascii="Arial" w:hAnsi="Arial" w:cs="Arial"/>
                <w:color w:val="27252C"/>
                <w:sz w:val="20"/>
              </w:rPr>
              <w:t xml:space="preserve">lejohet qe te shënohet me maksimum dy </w:t>
            </w:r>
            <w:r>
              <w:rPr>
                <w:rFonts w:ascii="Arial" w:hAnsi="Arial" w:cs="Arial"/>
                <w:color w:val="38373F"/>
                <w:sz w:val="20"/>
              </w:rPr>
              <w:t xml:space="preserve">(2) </w:t>
            </w:r>
            <w:r>
              <w:rPr>
                <w:rFonts w:ascii="Arial" w:hAnsi="Arial" w:cs="Arial"/>
                <w:color w:val="27252C"/>
                <w:sz w:val="20"/>
              </w:rPr>
              <w:t xml:space="preserve">numra pas presës dhjetore. </w:t>
            </w:r>
            <w:r>
              <w:rPr>
                <w:rFonts w:ascii="Arial" w:hAnsi="Arial" w:cs="Arial"/>
                <w:color w:val="38373F"/>
                <w:sz w:val="20"/>
              </w:rPr>
              <w:t xml:space="preserve">Çdo </w:t>
            </w:r>
            <w:r>
              <w:rPr>
                <w:rFonts w:ascii="Arial" w:hAnsi="Arial" w:cs="Arial"/>
                <w:color w:val="27252C"/>
                <w:sz w:val="20"/>
              </w:rPr>
              <w:t xml:space="preserve">numër i </w:t>
            </w:r>
            <w:r>
              <w:rPr>
                <w:rFonts w:ascii="Arial" w:hAnsi="Arial" w:cs="Arial"/>
                <w:color w:val="38373F"/>
                <w:sz w:val="20"/>
              </w:rPr>
              <w:t xml:space="preserve">shënuar </w:t>
            </w:r>
            <w:r>
              <w:rPr>
                <w:rFonts w:ascii="Arial" w:hAnsi="Arial" w:cs="Arial"/>
                <w:color w:val="27252C"/>
                <w:sz w:val="20"/>
              </w:rPr>
              <w:t xml:space="preserve">pas numrit te dyte </w:t>
            </w:r>
            <w:r>
              <w:rPr>
                <w:rFonts w:ascii="Arial" w:hAnsi="Arial" w:cs="Arial"/>
                <w:color w:val="38373F"/>
                <w:sz w:val="20"/>
              </w:rPr>
              <w:t xml:space="preserve">(2) </w:t>
            </w:r>
            <w:r>
              <w:rPr>
                <w:rFonts w:ascii="Arial" w:hAnsi="Arial" w:cs="Arial"/>
                <w:color w:val="27252C"/>
                <w:sz w:val="20"/>
              </w:rPr>
              <w:t xml:space="preserve">nuk do te merret për </w:t>
            </w:r>
            <w:r>
              <w:rPr>
                <w:rFonts w:ascii="Arial" w:hAnsi="Arial" w:cs="Arial"/>
                <w:color w:val="38373F"/>
                <w:sz w:val="20"/>
              </w:rPr>
              <w:t xml:space="preserve">baze </w:t>
            </w:r>
            <w:r>
              <w:rPr>
                <w:rFonts w:ascii="Arial" w:hAnsi="Arial" w:cs="Arial"/>
                <w:color w:val="27252C"/>
                <w:sz w:val="20"/>
              </w:rPr>
              <w:t xml:space="preserve">ne llogaritje te </w:t>
            </w:r>
            <w:r>
              <w:rPr>
                <w:rFonts w:ascii="Arial" w:hAnsi="Arial" w:cs="Arial"/>
                <w:color w:val="38373F"/>
                <w:sz w:val="20"/>
              </w:rPr>
              <w:t xml:space="preserve">vlerës se </w:t>
            </w:r>
            <w:r>
              <w:rPr>
                <w:rFonts w:ascii="Arial" w:hAnsi="Arial" w:cs="Arial"/>
                <w:color w:val="27252C"/>
                <w:sz w:val="20"/>
              </w:rPr>
              <w:t>ofertës.</w:t>
            </w:r>
          </w:p>
          <w:p w14:paraId="73821271">
            <w:pPr>
              <w:spacing w:after="0"/>
              <w:textAlignment w:val="top"/>
              <w:rPr>
                <w:rFonts w:ascii="Arial" w:hAnsi="Arial" w:cs="Arial"/>
                <w:color w:val="000000"/>
                <w:sz w:val="20"/>
              </w:rPr>
            </w:pPr>
          </w:p>
          <w:p w14:paraId="600A6A1E">
            <w:pPr>
              <w:spacing w:after="0"/>
              <w:textAlignment w:val="top"/>
              <w:rPr>
                <w:rFonts w:ascii="Arial" w:hAnsi="Arial" w:cs="Arial"/>
                <w:b/>
                <w:color w:val="000000"/>
                <w:sz w:val="20"/>
              </w:rPr>
            </w:pPr>
            <w:r>
              <w:rPr>
                <w:rFonts w:ascii="Arial" w:hAnsi="Arial" w:cs="Arial"/>
                <w:color w:val="000000"/>
                <w:sz w:val="20"/>
              </w:rPr>
              <w:t xml:space="preserve">20.2 Çmimet e tenderit për shërbimet e ofruara janë te fiksuara </w:t>
            </w:r>
            <w:r>
              <w:rPr>
                <w:rFonts w:ascii="Arial" w:hAnsi="Arial" w:cs="Arial"/>
                <w:b/>
                <w:sz w:val="20"/>
              </w:rPr>
              <w:t xml:space="preserve">për gjatë ekzekutimit të kontratës </w:t>
            </w:r>
            <w:r>
              <w:rPr>
                <w:rFonts w:ascii="Arial" w:hAnsi="Arial" w:cs="Arial"/>
                <w:color w:val="000000"/>
                <w:sz w:val="20"/>
              </w:rPr>
              <w:t>dhe nuk mund të ndryshohen.</w:t>
            </w:r>
          </w:p>
          <w:p w14:paraId="0A95DE7D">
            <w:pPr>
              <w:spacing w:after="0"/>
              <w:ind w:left="2380" w:firstLine="5"/>
              <w:textAlignment w:val="top"/>
              <w:rPr>
                <w:rFonts w:ascii="Arial" w:hAnsi="Arial" w:cs="Arial"/>
                <w:b/>
                <w:color w:val="000000"/>
                <w:sz w:val="20"/>
              </w:rPr>
            </w:pPr>
          </w:p>
          <w:p w14:paraId="32850FDE">
            <w:pPr>
              <w:tabs>
                <w:tab w:val="left" w:pos="2475"/>
              </w:tabs>
              <w:spacing w:after="0"/>
              <w:textAlignment w:val="top"/>
              <w:rPr>
                <w:rFonts w:ascii="Arial" w:hAnsi="Arial" w:cs="Arial"/>
                <w:sz w:val="20"/>
              </w:rPr>
            </w:pPr>
            <w:r>
              <w:rPr>
                <w:rStyle w:val="126"/>
                <w:rFonts w:ascii="Arial" w:hAnsi="Arial" w:cs="Arial"/>
                <w:color w:val="000000"/>
                <w:sz w:val="20"/>
              </w:rPr>
              <w:t>20.3</w:t>
            </w:r>
            <w:r>
              <w:rPr>
                <w:rFonts w:ascii="Arial" w:hAnsi="Arial" w:cs="Arial"/>
                <w:color w:val="000000"/>
                <w:sz w:val="20"/>
              </w:rPr>
              <w:t xml:space="preserve"> </w:t>
            </w:r>
            <w:r>
              <w:rPr>
                <w:rStyle w:val="126"/>
                <w:rFonts w:ascii="Arial" w:hAnsi="Arial" w:cs="Arial"/>
                <w:color w:val="000000"/>
                <w:sz w:val="20"/>
              </w:rPr>
              <w:t>Në qoftë se</w:t>
            </w:r>
            <w:r>
              <w:rPr>
                <w:rFonts w:ascii="Arial" w:hAnsi="Arial" w:cs="Arial"/>
                <w:color w:val="000000"/>
                <w:sz w:val="20"/>
              </w:rPr>
              <w:t xml:space="preserve"> </w:t>
            </w:r>
            <w:r>
              <w:rPr>
                <w:rStyle w:val="126"/>
                <w:rFonts w:ascii="Arial" w:hAnsi="Arial" w:cs="Arial"/>
                <w:color w:val="000000"/>
                <w:sz w:val="20"/>
              </w:rPr>
              <w:t>tenderët</w:t>
            </w:r>
            <w:r>
              <w:rPr>
                <w:rFonts w:ascii="Arial" w:hAnsi="Arial" w:cs="Arial"/>
                <w:color w:val="000000"/>
                <w:sz w:val="20"/>
              </w:rPr>
              <w:t xml:space="preserve"> </w:t>
            </w:r>
            <w:r>
              <w:rPr>
                <w:rStyle w:val="126"/>
                <w:rFonts w:ascii="Arial" w:hAnsi="Arial" w:cs="Arial"/>
                <w:color w:val="000000"/>
                <w:sz w:val="20"/>
              </w:rPr>
              <w:t>janë</w:t>
            </w:r>
            <w:r>
              <w:rPr>
                <w:rFonts w:ascii="Arial" w:hAnsi="Arial" w:cs="Arial"/>
                <w:color w:val="000000"/>
                <w:sz w:val="20"/>
              </w:rPr>
              <w:t xml:space="preserve"> </w:t>
            </w:r>
            <w:r>
              <w:rPr>
                <w:rStyle w:val="126"/>
                <w:rFonts w:ascii="Arial" w:hAnsi="Arial" w:cs="Arial"/>
                <w:color w:val="000000"/>
                <w:sz w:val="20"/>
              </w:rPr>
              <w:t>ftuar</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kontratat</w:t>
            </w:r>
            <w:r>
              <w:rPr>
                <w:rFonts w:ascii="Arial" w:hAnsi="Arial" w:cs="Arial"/>
                <w:color w:val="000000"/>
                <w:sz w:val="20"/>
              </w:rPr>
              <w:t xml:space="preserve"> </w:t>
            </w:r>
            <w:r>
              <w:rPr>
                <w:rStyle w:val="126"/>
                <w:rFonts w:ascii="Arial" w:hAnsi="Arial" w:cs="Arial"/>
                <w:color w:val="000000"/>
                <w:sz w:val="20"/>
              </w:rPr>
              <w:t>individuale</w:t>
            </w:r>
            <w:r>
              <w:rPr>
                <w:rFonts w:ascii="Arial" w:hAnsi="Arial" w:cs="Arial"/>
                <w:color w:val="000000"/>
                <w:sz w:val="20"/>
              </w:rPr>
              <w:t xml:space="preserve"> </w:t>
            </w:r>
            <w:r>
              <w:rPr>
                <w:rStyle w:val="126"/>
                <w:rFonts w:ascii="Arial" w:hAnsi="Arial" w:cs="Arial"/>
                <w:color w:val="000000"/>
                <w:sz w:val="20"/>
              </w:rPr>
              <w:t>(</w:t>
            </w:r>
            <w:r>
              <w:rPr>
                <w:rFonts w:ascii="Arial" w:hAnsi="Arial" w:cs="Arial"/>
                <w:color w:val="000000"/>
                <w:sz w:val="20"/>
              </w:rPr>
              <w:t xml:space="preserve">lot-e)   </w:t>
            </w:r>
            <w:r>
              <w:rPr>
                <w:rStyle w:val="126"/>
                <w:rFonts w:ascii="Arial" w:hAnsi="Arial" w:cs="Arial"/>
                <w:color w:val="000000"/>
                <w:sz w:val="20"/>
              </w:rPr>
              <w:t>çmimet e ofruara</w:t>
            </w:r>
            <w:r>
              <w:rPr>
                <w:rFonts w:ascii="Arial" w:hAnsi="Arial" w:cs="Arial"/>
                <w:color w:val="000000"/>
                <w:sz w:val="20"/>
              </w:rPr>
              <w:t xml:space="preserve"> </w:t>
            </w:r>
            <w:r>
              <w:rPr>
                <w:rStyle w:val="126"/>
                <w:rFonts w:ascii="Arial" w:hAnsi="Arial" w:cs="Arial"/>
                <w:color w:val="000000"/>
                <w:sz w:val="20"/>
              </w:rPr>
              <w:t>duhet të korrespondojë me</w:t>
            </w:r>
            <w:r>
              <w:rPr>
                <w:rFonts w:ascii="Arial" w:hAnsi="Arial" w:cs="Arial"/>
                <w:color w:val="000000"/>
                <w:sz w:val="20"/>
              </w:rPr>
              <w:t xml:space="preserve"> </w:t>
            </w:r>
            <w:r>
              <w:rPr>
                <w:rStyle w:val="126"/>
                <w:rFonts w:ascii="Arial" w:hAnsi="Arial" w:cs="Arial"/>
                <w:color w:val="000000"/>
                <w:sz w:val="20"/>
              </w:rPr>
              <w:t>100</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artikujve</w:t>
            </w:r>
            <w:r>
              <w:rPr>
                <w:rFonts w:ascii="Arial" w:hAnsi="Arial" w:cs="Arial"/>
                <w:color w:val="000000"/>
                <w:sz w:val="20"/>
              </w:rPr>
              <w:t xml:space="preserve"> </w:t>
            </w:r>
            <w:r>
              <w:rPr>
                <w:rStyle w:val="126"/>
                <w:rFonts w:ascii="Arial" w:hAnsi="Arial" w:cs="Arial"/>
                <w:color w:val="000000"/>
                <w:sz w:val="20"/>
              </w:rPr>
              <w:t>të specifikuar</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secilën pjesë</w:t>
            </w:r>
            <w:r>
              <w:rPr>
                <w:rFonts w:ascii="Arial" w:hAnsi="Arial" w:cs="Arial"/>
                <w:color w:val="000000"/>
                <w:sz w:val="20"/>
              </w:rPr>
              <w:t xml:space="preserve"> (lot)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100</w:t>
            </w:r>
            <w:r>
              <w:rPr>
                <w:rFonts w:ascii="Arial" w:hAnsi="Arial" w:cs="Arial"/>
                <w:color w:val="000000"/>
                <w:sz w:val="20"/>
              </w:rPr>
              <w:t xml:space="preserve">% për </w:t>
            </w:r>
            <w:r>
              <w:rPr>
                <w:rStyle w:val="126"/>
                <w:rFonts w:ascii="Arial" w:hAnsi="Arial" w:cs="Arial"/>
                <w:color w:val="000000"/>
                <w:sz w:val="20"/>
              </w:rPr>
              <w:t>sasitë e specifikuara</w:t>
            </w:r>
            <w:r>
              <w:rPr>
                <w:rFonts w:ascii="Arial" w:hAnsi="Arial" w:cs="Arial"/>
                <w:color w:val="000000"/>
                <w:sz w:val="20"/>
              </w:rPr>
              <w:t xml:space="preserve"> për secilin pozicion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atë pjesë(lot)</w:t>
            </w:r>
            <w:r>
              <w:rPr>
                <w:rFonts w:ascii="Arial" w:hAnsi="Arial" w:cs="Arial"/>
                <w:color w:val="000000"/>
                <w:sz w:val="20"/>
              </w:rPr>
              <w:t>.</w:t>
            </w:r>
            <w:r>
              <w:rPr>
                <w:rStyle w:val="126"/>
                <w:rFonts w:ascii="Arial" w:hAnsi="Arial" w:cs="Arial"/>
                <w:b/>
                <w:color w:val="000000"/>
                <w:sz w:val="20"/>
              </w:rPr>
              <w:tab/>
            </w:r>
            <w:r>
              <w:rPr>
                <w:rFonts w:ascii="Arial" w:hAnsi="Arial" w:cs="Arial"/>
                <w:sz w:val="20"/>
              </w:rPr>
              <w:t xml:space="preserve"> </w:t>
            </w:r>
          </w:p>
          <w:p w14:paraId="35BE82CD">
            <w:pPr>
              <w:tabs>
                <w:tab w:val="left" w:pos="2475"/>
              </w:tabs>
              <w:spacing w:after="0"/>
              <w:textAlignment w:val="top"/>
              <w:rPr>
                <w:rFonts w:ascii="Arial" w:hAnsi="Arial" w:cs="Arial"/>
                <w:color w:val="000000"/>
                <w:sz w:val="20"/>
              </w:rPr>
            </w:pPr>
          </w:p>
        </w:tc>
      </w:tr>
      <w:tr w14:paraId="5CF74ABB">
        <w:tblPrEx>
          <w:tblCellMar>
            <w:top w:w="0" w:type="dxa"/>
            <w:left w:w="108" w:type="dxa"/>
            <w:bottom w:w="0" w:type="dxa"/>
            <w:right w:w="108" w:type="dxa"/>
          </w:tblCellMar>
        </w:tblPrEx>
        <w:trPr>
          <w:jc w:val="center"/>
        </w:trPr>
        <w:tc>
          <w:tcPr>
            <w:tcW w:w="2120" w:type="dxa"/>
            <w:tcBorders>
              <w:bottom w:val="nil"/>
            </w:tcBorders>
          </w:tcPr>
          <w:p w14:paraId="4937FE73">
            <w:pPr>
              <w:pStyle w:val="112"/>
              <w:spacing w:before="0" w:after="200"/>
              <w:ind w:left="0" w:firstLine="0"/>
              <w:rPr>
                <w:rFonts w:ascii="Arial" w:hAnsi="Arial" w:cs="Arial"/>
                <w:sz w:val="20"/>
                <w:lang w:val="sq-AL"/>
              </w:rPr>
            </w:pPr>
            <w:bookmarkStart w:id="69" w:name="_Toc438733985"/>
            <w:bookmarkStart w:id="70" w:name="_Toc61936857"/>
            <w:bookmarkStart w:id="71" w:name="_Toc438532604"/>
            <w:bookmarkStart w:id="72" w:name="_Toc438907024"/>
            <w:bookmarkStart w:id="73" w:name="_Toc438907223"/>
            <w:bookmarkStart w:id="74" w:name="_Toc438438841"/>
            <w:r>
              <w:rPr>
                <w:rFonts w:ascii="Arial" w:hAnsi="Arial" w:cs="Arial"/>
                <w:sz w:val="20"/>
                <w:lang w:val="sq-AL"/>
              </w:rPr>
              <w:t>21.  Periudha e V</w:t>
            </w:r>
            <w:bookmarkEnd w:id="69"/>
            <w:bookmarkEnd w:id="70"/>
            <w:bookmarkEnd w:id="71"/>
            <w:bookmarkEnd w:id="72"/>
            <w:bookmarkEnd w:id="73"/>
            <w:bookmarkEnd w:id="74"/>
            <w:r>
              <w:rPr>
                <w:rFonts w:ascii="Arial" w:hAnsi="Arial" w:cs="Arial"/>
                <w:color w:val="000000"/>
                <w:sz w:val="20"/>
                <w:lang w:val="sq-AL"/>
              </w:rPr>
              <w:t>lefshmërisë se Tenderit</w:t>
            </w:r>
          </w:p>
        </w:tc>
        <w:tc>
          <w:tcPr>
            <w:tcW w:w="6405" w:type="dxa"/>
          </w:tcPr>
          <w:p w14:paraId="0429534E">
            <w:pPr>
              <w:tabs>
                <w:tab w:val="left" w:pos="2475"/>
              </w:tabs>
              <w:spacing w:after="0"/>
              <w:textAlignment w:val="top"/>
              <w:rPr>
                <w:rFonts w:ascii="Arial" w:hAnsi="Arial" w:cs="Arial"/>
                <w:b/>
                <w:color w:val="000000"/>
                <w:sz w:val="20"/>
              </w:rPr>
            </w:pPr>
            <w:r>
              <w:rPr>
                <w:rFonts w:ascii="Arial" w:hAnsi="Arial" w:cs="Arial"/>
                <w:color w:val="000000"/>
                <w:sz w:val="20"/>
              </w:rPr>
              <w:t>21.1 Tenderët do të mbeten të vlefshme për aq kohë sa është</w:t>
            </w:r>
            <w:r>
              <w:rPr>
                <w:rFonts w:ascii="Arial" w:hAnsi="Arial" w:cs="Arial"/>
                <w:b/>
                <w:color w:val="000000"/>
                <w:sz w:val="20"/>
              </w:rPr>
              <w:t xml:space="preserve"> </w:t>
            </w:r>
            <w:r>
              <w:rPr>
                <w:rFonts w:ascii="Arial" w:hAnsi="Arial" w:cs="Arial"/>
                <w:color w:val="000000"/>
                <w:sz w:val="20"/>
              </w:rPr>
              <w:t xml:space="preserve">e </w:t>
            </w:r>
            <w:r>
              <w:rPr>
                <w:rFonts w:ascii="Arial" w:hAnsi="Arial" w:cs="Arial"/>
                <w:b/>
                <w:color w:val="000000"/>
                <w:sz w:val="20"/>
              </w:rPr>
              <w:t>shënuar në FDT.</w:t>
            </w:r>
            <w:r>
              <w:rPr>
                <w:rFonts w:ascii="Arial" w:hAnsi="Arial" w:cs="Arial"/>
                <w:color w:val="000000"/>
                <w:sz w:val="20"/>
              </w:rPr>
              <w:t xml:space="preserve">  Periudha e vlefshmërisë së tenderit do</w:t>
            </w:r>
            <w:r>
              <w:rPr>
                <w:rFonts w:ascii="Arial" w:hAnsi="Arial" w:cs="Arial"/>
                <w:b/>
                <w:color w:val="000000"/>
                <w:sz w:val="20"/>
              </w:rPr>
              <w:t xml:space="preserve"> </w:t>
            </w:r>
            <w:r>
              <w:rPr>
                <w:rFonts w:ascii="Arial" w:hAnsi="Arial" w:cs="Arial"/>
                <w:color w:val="000000"/>
                <w:sz w:val="20"/>
              </w:rPr>
              <w:t>të filloj në datën e afatit të fundit te</w:t>
            </w:r>
            <w:r>
              <w:rPr>
                <w:rFonts w:ascii="Arial" w:hAnsi="Arial" w:cs="Arial"/>
                <w:sz w:val="20"/>
              </w:rPr>
              <w:t xml:space="preserve"> </w:t>
            </w:r>
            <w:r>
              <w:rPr>
                <w:rFonts w:ascii="Arial" w:hAnsi="Arial" w:cs="Arial"/>
                <w:color w:val="000000"/>
                <w:sz w:val="20"/>
              </w:rPr>
              <w:t>dorëzimit te tenderëve.</w:t>
            </w:r>
            <w:r>
              <w:rPr>
                <w:rFonts w:ascii="Arial" w:hAnsi="Arial" w:cs="Arial"/>
                <w:b/>
                <w:color w:val="000000"/>
                <w:sz w:val="20"/>
              </w:rPr>
              <w:t xml:space="preserve"> </w:t>
            </w:r>
            <w:r>
              <w:rPr>
                <w:rFonts w:ascii="Arial" w:hAnsi="Arial" w:cs="Arial"/>
                <w:color w:val="000000"/>
                <w:sz w:val="20"/>
              </w:rPr>
              <w:t>Një tender që është valid për një kohë më të shkurtër, do të</w:t>
            </w:r>
            <w:r>
              <w:rPr>
                <w:rFonts w:ascii="Arial" w:hAnsi="Arial" w:cs="Arial"/>
                <w:b/>
                <w:color w:val="000000"/>
                <w:sz w:val="20"/>
              </w:rPr>
              <w:t xml:space="preserve"> </w:t>
            </w:r>
            <w:r>
              <w:rPr>
                <w:rFonts w:ascii="Arial" w:hAnsi="Arial" w:cs="Arial"/>
                <w:color w:val="000000"/>
                <w:sz w:val="20"/>
              </w:rPr>
              <w:t>refuzohet nga Autoriteti Kontraktues si jo e përgjegjshme.</w:t>
            </w:r>
          </w:p>
          <w:p w14:paraId="406D7C6D">
            <w:pPr>
              <w:tabs>
                <w:tab w:val="left" w:pos="2475"/>
              </w:tabs>
              <w:spacing w:after="0"/>
              <w:jc w:val="left"/>
              <w:textAlignment w:val="top"/>
              <w:rPr>
                <w:rFonts w:ascii="Arial" w:hAnsi="Arial" w:cs="Arial"/>
                <w:b/>
                <w:color w:val="000000"/>
                <w:sz w:val="20"/>
              </w:rPr>
            </w:pPr>
          </w:p>
          <w:p w14:paraId="434B3811">
            <w:pPr>
              <w:tabs>
                <w:tab w:val="left" w:pos="2475"/>
              </w:tabs>
              <w:spacing w:after="0"/>
              <w:textAlignment w:val="top"/>
              <w:rPr>
                <w:rFonts w:ascii="Arial" w:hAnsi="Arial" w:cs="Arial"/>
                <w:color w:val="000000"/>
                <w:sz w:val="20"/>
              </w:rPr>
            </w:pPr>
            <w:r>
              <w:rPr>
                <w:rStyle w:val="126"/>
                <w:rFonts w:ascii="Arial" w:hAnsi="Arial" w:cs="Arial"/>
                <w:color w:val="000000"/>
                <w:sz w:val="20"/>
              </w:rPr>
              <w:t>21.2</w:t>
            </w:r>
            <w:r>
              <w:rPr>
                <w:rFonts w:ascii="Arial" w:hAnsi="Arial" w:cs="Arial"/>
                <w:color w:val="000000"/>
                <w:sz w:val="20"/>
              </w:rPr>
              <w:t xml:space="preserve"> </w:t>
            </w:r>
            <w:r>
              <w:rPr>
                <w:rStyle w:val="126"/>
                <w:rFonts w:ascii="Arial" w:hAnsi="Arial" w:cs="Arial"/>
                <w:color w:val="000000"/>
                <w:sz w:val="20"/>
              </w:rPr>
              <w:t>Në rrethana të jashtëzakonshme</w:t>
            </w:r>
            <w:r>
              <w:rPr>
                <w:rFonts w:ascii="Arial" w:hAnsi="Arial" w:cs="Arial"/>
                <w:color w:val="000000"/>
                <w:sz w:val="20"/>
              </w:rPr>
              <w:t xml:space="preserve">, </w:t>
            </w:r>
            <w:r>
              <w:rPr>
                <w:rStyle w:val="126"/>
                <w:rFonts w:ascii="Arial" w:hAnsi="Arial" w:cs="Arial"/>
                <w:color w:val="000000"/>
                <w:sz w:val="20"/>
              </w:rPr>
              <w:t>para</w:t>
            </w:r>
            <w:r>
              <w:rPr>
                <w:rFonts w:ascii="Arial" w:hAnsi="Arial" w:cs="Arial"/>
                <w:color w:val="000000"/>
                <w:sz w:val="20"/>
              </w:rPr>
              <w:t xml:space="preserve"> </w:t>
            </w:r>
            <w:r>
              <w:rPr>
                <w:rStyle w:val="126"/>
                <w:rFonts w:ascii="Arial" w:hAnsi="Arial" w:cs="Arial"/>
                <w:color w:val="000000"/>
                <w:sz w:val="20"/>
              </w:rPr>
              <w:t>skadimit</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periudhës</w:t>
            </w:r>
            <w:r>
              <w:rPr>
                <w:rFonts w:ascii="Arial" w:hAnsi="Arial" w:cs="Arial"/>
                <w:color w:val="000000"/>
                <w:sz w:val="20"/>
              </w:rPr>
              <w:t xml:space="preserve"> </w:t>
            </w:r>
            <w:r>
              <w:rPr>
                <w:rStyle w:val="126"/>
                <w:rFonts w:ascii="Arial" w:hAnsi="Arial" w:cs="Arial"/>
                <w:color w:val="000000"/>
                <w:sz w:val="20"/>
              </w:rPr>
              <w:t>së</w:t>
            </w:r>
            <w:r>
              <w:rPr>
                <w:rStyle w:val="126"/>
                <w:rFonts w:ascii="Arial" w:hAnsi="Arial" w:cs="Arial"/>
                <w:b/>
                <w:color w:val="000000"/>
                <w:sz w:val="20"/>
              </w:rPr>
              <w:t xml:space="preserve"> </w:t>
            </w:r>
            <w:r>
              <w:rPr>
                <w:rStyle w:val="126"/>
                <w:rFonts w:ascii="Arial" w:hAnsi="Arial" w:cs="Arial"/>
                <w:color w:val="000000"/>
                <w:sz w:val="20"/>
              </w:rPr>
              <w:t>vlefshmërisë së tenderit</w:t>
            </w:r>
            <w:r>
              <w:rPr>
                <w:rFonts w:ascii="Arial" w:hAnsi="Arial" w:cs="Arial"/>
                <w:color w:val="000000"/>
                <w:sz w:val="20"/>
              </w:rPr>
              <w:t xml:space="preserve">, </w:t>
            </w:r>
            <w:r>
              <w:rPr>
                <w:rStyle w:val="126"/>
                <w:rFonts w:ascii="Arial" w:hAnsi="Arial" w:cs="Arial"/>
                <w:color w:val="000000"/>
                <w:sz w:val="20"/>
              </w:rPr>
              <w:t>autoriteti</w:t>
            </w:r>
            <w:r>
              <w:rPr>
                <w:rFonts w:ascii="Arial" w:hAnsi="Arial" w:cs="Arial"/>
                <w:color w:val="000000"/>
                <w:sz w:val="20"/>
              </w:rPr>
              <w:t xml:space="preserve"> </w:t>
            </w:r>
            <w:r>
              <w:rPr>
                <w:rStyle w:val="126"/>
                <w:rFonts w:ascii="Arial" w:hAnsi="Arial" w:cs="Arial"/>
                <w:color w:val="000000"/>
                <w:sz w:val="20"/>
              </w:rPr>
              <w:t>kontraktues</w:t>
            </w:r>
            <w:r>
              <w:rPr>
                <w:rFonts w:ascii="Arial" w:hAnsi="Arial" w:cs="Arial"/>
                <w:color w:val="000000"/>
                <w:sz w:val="20"/>
              </w:rPr>
              <w:t xml:space="preserve"> </w:t>
            </w:r>
            <w:r>
              <w:rPr>
                <w:rStyle w:val="126"/>
                <w:rFonts w:ascii="Arial" w:hAnsi="Arial" w:cs="Arial"/>
                <w:color w:val="000000"/>
                <w:sz w:val="20"/>
              </w:rPr>
              <w:t>mund të</w:t>
            </w:r>
            <w:r>
              <w:rPr>
                <w:rFonts w:ascii="Arial" w:hAnsi="Arial" w:cs="Arial"/>
                <w:color w:val="000000"/>
                <w:sz w:val="20"/>
              </w:rPr>
              <w:t xml:space="preserve"> </w:t>
            </w:r>
            <w:r>
              <w:rPr>
                <w:rStyle w:val="126"/>
                <w:rFonts w:ascii="Arial" w:hAnsi="Arial" w:cs="Arial"/>
                <w:color w:val="000000"/>
                <w:sz w:val="20"/>
              </w:rPr>
              <w:t>kërkojë</w:t>
            </w:r>
            <w:r>
              <w:rPr>
                <w:rStyle w:val="126"/>
                <w:rFonts w:ascii="Arial" w:hAnsi="Arial" w:cs="Arial"/>
                <w:b/>
                <w:color w:val="000000"/>
                <w:sz w:val="20"/>
              </w:rPr>
              <w:t xml:space="preserve"> </w:t>
            </w:r>
            <w:r>
              <w:rPr>
                <w:rFonts w:ascii="Arial" w:hAnsi="Arial" w:cs="Arial"/>
                <w:color w:val="000000"/>
                <w:sz w:val="20"/>
              </w:rPr>
              <w:t xml:space="preserve"> nga tenderue</w:t>
            </w:r>
            <w:r>
              <w:rPr>
                <w:rStyle w:val="126"/>
                <w:rFonts w:ascii="Arial" w:hAnsi="Arial" w:cs="Arial"/>
                <w:color w:val="000000"/>
                <w:sz w:val="20"/>
              </w:rPr>
              <w:t>sit</w:t>
            </w:r>
            <w:r>
              <w:rPr>
                <w:rFonts w:ascii="Arial" w:hAnsi="Arial" w:cs="Arial"/>
                <w:color w:val="000000"/>
                <w:sz w:val="20"/>
              </w:rPr>
              <w:t xml:space="preserve"> </w:t>
            </w:r>
            <w:r>
              <w:rPr>
                <w:rStyle w:val="126"/>
                <w:rFonts w:ascii="Arial" w:hAnsi="Arial" w:cs="Arial"/>
                <w:color w:val="000000"/>
                <w:sz w:val="20"/>
              </w:rPr>
              <w:t>zgjatjen e</w:t>
            </w:r>
            <w:r>
              <w:rPr>
                <w:rFonts w:ascii="Arial" w:hAnsi="Arial" w:cs="Arial"/>
                <w:color w:val="000000"/>
                <w:sz w:val="20"/>
              </w:rPr>
              <w:t xml:space="preserve"> </w:t>
            </w:r>
            <w:r>
              <w:rPr>
                <w:rStyle w:val="126"/>
                <w:rFonts w:ascii="Arial" w:hAnsi="Arial" w:cs="Arial"/>
                <w:color w:val="000000"/>
                <w:sz w:val="20"/>
              </w:rPr>
              <w:t>periudhës së vlefshmërisë së</w:t>
            </w:r>
            <w:r>
              <w:rPr>
                <w:rFonts w:ascii="Arial" w:hAnsi="Arial" w:cs="Arial"/>
                <w:color w:val="000000"/>
                <w:sz w:val="20"/>
              </w:rPr>
              <w:t xml:space="preserve"> tenderë</w:t>
            </w:r>
            <w:r>
              <w:rPr>
                <w:rStyle w:val="126"/>
                <w:rFonts w:ascii="Arial" w:hAnsi="Arial" w:cs="Arial"/>
                <w:color w:val="000000"/>
                <w:sz w:val="20"/>
              </w:rPr>
              <w:t>ve</w:t>
            </w:r>
            <w:r>
              <w:rPr>
                <w:rFonts w:ascii="Arial" w:hAnsi="Arial" w:cs="Arial"/>
                <w:color w:val="000000"/>
                <w:sz w:val="20"/>
              </w:rPr>
              <w:t xml:space="preserve"> </w:t>
            </w:r>
            <w:r>
              <w:rPr>
                <w:rStyle w:val="126"/>
                <w:rFonts w:ascii="Arial" w:hAnsi="Arial" w:cs="Arial"/>
                <w:color w:val="000000"/>
                <w:sz w:val="20"/>
              </w:rPr>
              <w:t>të tyre</w:t>
            </w:r>
            <w:r>
              <w:rPr>
                <w:rFonts w:ascii="Arial" w:hAnsi="Arial" w:cs="Arial"/>
                <w:color w:val="000000"/>
                <w:sz w:val="20"/>
              </w:rPr>
              <w:t xml:space="preserve">. </w:t>
            </w:r>
            <w:r>
              <w:rPr>
                <w:rStyle w:val="126"/>
                <w:rFonts w:ascii="Arial" w:hAnsi="Arial" w:cs="Arial"/>
                <w:color w:val="000000"/>
                <w:sz w:val="20"/>
              </w:rPr>
              <w:t>Kërkesat</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përgjigjet</w:t>
            </w:r>
            <w:r>
              <w:rPr>
                <w:rFonts w:ascii="Arial" w:hAnsi="Arial" w:cs="Arial"/>
                <w:color w:val="000000"/>
                <w:sz w:val="20"/>
              </w:rPr>
              <w:t xml:space="preserve"> </w:t>
            </w:r>
            <w:r>
              <w:rPr>
                <w:rStyle w:val="126"/>
                <w:rFonts w:ascii="Arial" w:hAnsi="Arial" w:cs="Arial"/>
                <w:color w:val="000000"/>
                <w:sz w:val="20"/>
              </w:rPr>
              <w:t>duhet</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bëhen</w:t>
            </w:r>
            <w:r>
              <w:rPr>
                <w:rFonts w:ascii="Arial" w:hAnsi="Arial" w:cs="Arial"/>
                <w:color w:val="000000"/>
                <w:sz w:val="20"/>
              </w:rPr>
              <w:t xml:space="preserve"> </w:t>
            </w:r>
            <w:r>
              <w:rPr>
                <w:rStyle w:val="126"/>
                <w:rFonts w:ascii="Arial" w:hAnsi="Arial" w:cs="Arial"/>
                <w:color w:val="000000"/>
                <w:sz w:val="20"/>
              </w:rPr>
              <w:t>me shkrim</w:t>
            </w:r>
            <w:r>
              <w:rPr>
                <w:rFonts w:ascii="Arial" w:hAnsi="Arial" w:cs="Arial"/>
                <w:color w:val="000000"/>
                <w:sz w:val="20"/>
              </w:rPr>
              <w:t xml:space="preserve">. </w:t>
            </w:r>
            <w:r>
              <w:rPr>
                <w:rStyle w:val="126"/>
                <w:rFonts w:ascii="Arial" w:hAnsi="Arial" w:cs="Arial"/>
                <w:color w:val="000000"/>
                <w:sz w:val="20"/>
              </w:rPr>
              <w:t>Nëse</w:t>
            </w:r>
            <w:r>
              <w:rPr>
                <w:rFonts w:ascii="Arial" w:hAnsi="Arial" w:cs="Arial"/>
                <w:color w:val="000000"/>
                <w:sz w:val="20"/>
              </w:rPr>
              <w:t xml:space="preserve"> </w:t>
            </w:r>
            <w:r>
              <w:rPr>
                <w:rStyle w:val="126"/>
                <w:rFonts w:ascii="Arial" w:hAnsi="Arial" w:cs="Arial"/>
                <w:color w:val="000000"/>
                <w:sz w:val="20"/>
              </w:rPr>
              <w:t>Sigurimi i  Tenderit</w:t>
            </w:r>
            <w:r>
              <w:rPr>
                <w:rFonts w:ascii="Arial" w:hAnsi="Arial" w:cs="Arial"/>
                <w:color w:val="000000"/>
                <w:sz w:val="20"/>
              </w:rPr>
              <w:t xml:space="preserve"> </w:t>
            </w:r>
            <w:r>
              <w:rPr>
                <w:rStyle w:val="126"/>
                <w:rFonts w:ascii="Arial" w:hAnsi="Arial" w:cs="Arial"/>
                <w:color w:val="000000"/>
                <w:sz w:val="20"/>
              </w:rPr>
              <w:t>kërkohet</w:t>
            </w:r>
            <w:r>
              <w:rPr>
                <w:rFonts w:ascii="Arial" w:hAnsi="Arial" w:cs="Arial"/>
                <w:color w:val="000000"/>
                <w:sz w:val="20"/>
              </w:rPr>
              <w:t xml:space="preserve"> </w:t>
            </w:r>
            <w:r>
              <w:rPr>
                <w:rStyle w:val="126"/>
                <w:rFonts w:ascii="Arial" w:hAnsi="Arial" w:cs="Arial"/>
                <w:color w:val="000000"/>
                <w:sz w:val="20"/>
              </w:rPr>
              <w:t>ajo</w:t>
            </w:r>
            <w:r>
              <w:rPr>
                <w:rFonts w:ascii="Arial" w:hAnsi="Arial" w:cs="Arial"/>
                <w:color w:val="000000"/>
                <w:sz w:val="20"/>
              </w:rPr>
              <w:t xml:space="preserve"> </w:t>
            </w:r>
            <w:r>
              <w:rPr>
                <w:rStyle w:val="126"/>
                <w:rFonts w:ascii="Arial" w:hAnsi="Arial" w:cs="Arial"/>
                <w:color w:val="000000"/>
                <w:sz w:val="20"/>
              </w:rPr>
              <w:t>do</w:t>
            </w:r>
            <w:r>
              <w:rPr>
                <w:rFonts w:ascii="Arial" w:hAnsi="Arial" w:cs="Arial"/>
                <w:color w:val="000000"/>
                <w:sz w:val="20"/>
              </w:rPr>
              <w:t xml:space="preserve"> </w:t>
            </w:r>
            <w:r>
              <w:rPr>
                <w:rStyle w:val="126"/>
                <w:rFonts w:ascii="Arial" w:hAnsi="Arial" w:cs="Arial"/>
                <w:color w:val="000000"/>
                <w:sz w:val="20"/>
              </w:rPr>
              <w:t>të zgjatet edhe</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një</w:t>
            </w:r>
            <w:r>
              <w:rPr>
                <w:rFonts w:ascii="Arial" w:hAnsi="Arial" w:cs="Arial"/>
                <w:color w:val="000000"/>
                <w:sz w:val="20"/>
              </w:rPr>
              <w:t xml:space="preserve"> </w:t>
            </w:r>
            <w:r>
              <w:rPr>
                <w:rStyle w:val="126"/>
                <w:rFonts w:ascii="Arial" w:hAnsi="Arial" w:cs="Arial"/>
                <w:color w:val="000000"/>
                <w:sz w:val="20"/>
              </w:rPr>
              <w:t>periudhë</w:t>
            </w:r>
            <w:r>
              <w:rPr>
                <w:rFonts w:ascii="Arial" w:hAnsi="Arial" w:cs="Arial"/>
                <w:color w:val="000000"/>
                <w:sz w:val="20"/>
              </w:rPr>
              <w:t xml:space="preserve"> </w:t>
            </w:r>
            <w:r>
              <w:rPr>
                <w:rStyle w:val="126"/>
                <w:rFonts w:ascii="Arial" w:hAnsi="Arial" w:cs="Arial"/>
                <w:color w:val="000000"/>
                <w:sz w:val="20"/>
              </w:rPr>
              <w:t>përkatëse</w:t>
            </w:r>
            <w:r>
              <w:rPr>
                <w:rFonts w:ascii="Arial" w:hAnsi="Arial" w:cs="Arial"/>
                <w:color w:val="000000"/>
                <w:sz w:val="20"/>
              </w:rPr>
              <w:t xml:space="preserve">.  </w:t>
            </w:r>
            <w:r>
              <w:rPr>
                <w:rStyle w:val="126"/>
                <w:rFonts w:ascii="Arial" w:hAnsi="Arial" w:cs="Arial"/>
                <w:color w:val="000000"/>
                <w:sz w:val="20"/>
              </w:rPr>
              <w:t>Dështimi</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t'iu përgjigjur</w:t>
            </w:r>
            <w:r>
              <w:rPr>
                <w:rFonts w:ascii="Arial" w:hAnsi="Arial" w:cs="Arial"/>
                <w:color w:val="000000"/>
                <w:sz w:val="20"/>
              </w:rPr>
              <w:t xml:space="preserve"> </w:t>
            </w:r>
            <w:r>
              <w:rPr>
                <w:rStyle w:val="126"/>
                <w:rFonts w:ascii="Arial" w:hAnsi="Arial" w:cs="Arial"/>
                <w:color w:val="000000"/>
                <w:sz w:val="20"/>
              </w:rPr>
              <w:t>kërkesës së bërë</w:t>
            </w:r>
            <w:r>
              <w:rPr>
                <w:rFonts w:ascii="Arial" w:hAnsi="Arial" w:cs="Arial"/>
                <w:color w:val="000000"/>
                <w:sz w:val="20"/>
              </w:rPr>
              <w:t xml:space="preserve"> </w:t>
            </w:r>
            <w:r>
              <w:rPr>
                <w:rStyle w:val="126"/>
                <w:rFonts w:ascii="Arial" w:hAnsi="Arial" w:cs="Arial"/>
                <w:color w:val="000000"/>
                <w:sz w:val="20"/>
              </w:rPr>
              <w:t>nga</w:t>
            </w:r>
            <w:r>
              <w:rPr>
                <w:rFonts w:ascii="Arial" w:hAnsi="Arial" w:cs="Arial"/>
                <w:color w:val="000000"/>
                <w:sz w:val="20"/>
              </w:rPr>
              <w:t xml:space="preserve"> </w:t>
            </w:r>
            <w:r>
              <w:rPr>
                <w:rStyle w:val="126"/>
                <w:rFonts w:ascii="Arial" w:hAnsi="Arial" w:cs="Arial"/>
                <w:color w:val="000000"/>
                <w:sz w:val="20"/>
              </w:rPr>
              <w:t>autoriteti</w:t>
            </w:r>
            <w:r>
              <w:rPr>
                <w:rFonts w:ascii="Arial" w:hAnsi="Arial" w:cs="Arial"/>
                <w:color w:val="000000"/>
                <w:sz w:val="20"/>
              </w:rPr>
              <w:t xml:space="preserve"> </w:t>
            </w:r>
            <w:r>
              <w:rPr>
                <w:rStyle w:val="126"/>
                <w:rFonts w:ascii="Arial" w:hAnsi="Arial" w:cs="Arial"/>
                <w:color w:val="000000"/>
                <w:sz w:val="20"/>
              </w:rPr>
              <w:t>kontraktues</w:t>
            </w:r>
            <w:r>
              <w:rPr>
                <w:rFonts w:ascii="Arial" w:hAnsi="Arial" w:cs="Arial"/>
                <w:color w:val="000000"/>
                <w:sz w:val="20"/>
              </w:rPr>
              <w:t xml:space="preserve">  </w:t>
            </w:r>
            <w:r>
              <w:rPr>
                <w:rStyle w:val="126"/>
                <w:rFonts w:ascii="Arial" w:hAnsi="Arial" w:cs="Arial"/>
                <w:color w:val="000000"/>
                <w:sz w:val="20"/>
              </w:rPr>
              <w:t>do</w:t>
            </w:r>
            <w:r>
              <w:rPr>
                <w:rFonts w:ascii="Arial" w:hAnsi="Arial" w:cs="Arial"/>
                <w:color w:val="000000"/>
                <w:sz w:val="20"/>
              </w:rPr>
              <w:t xml:space="preserve"> </w:t>
            </w:r>
            <w:r>
              <w:rPr>
                <w:rStyle w:val="126"/>
                <w:rFonts w:ascii="Arial" w:hAnsi="Arial" w:cs="Arial"/>
                <w:color w:val="000000"/>
                <w:sz w:val="20"/>
              </w:rPr>
              <w:t>të çojë në</w:t>
            </w:r>
            <w:r>
              <w:rPr>
                <w:rFonts w:ascii="Arial" w:hAnsi="Arial" w:cs="Arial"/>
                <w:color w:val="000000"/>
                <w:sz w:val="20"/>
              </w:rPr>
              <w:t xml:space="preserve"> </w:t>
            </w:r>
            <w:r>
              <w:rPr>
                <w:rStyle w:val="126"/>
                <w:rFonts w:ascii="Arial" w:hAnsi="Arial" w:cs="Arial"/>
                <w:color w:val="000000"/>
                <w:sz w:val="20"/>
              </w:rPr>
              <w:t>refuzimin</w:t>
            </w:r>
            <w:r>
              <w:rPr>
                <w:rFonts w:ascii="Arial" w:hAnsi="Arial" w:cs="Arial"/>
                <w:color w:val="000000"/>
                <w:sz w:val="20"/>
              </w:rPr>
              <w:t xml:space="preserve"> </w:t>
            </w:r>
            <w:r>
              <w:rPr>
                <w:rStyle w:val="126"/>
                <w:rFonts w:ascii="Arial" w:hAnsi="Arial" w:cs="Arial"/>
                <w:color w:val="000000"/>
                <w:sz w:val="20"/>
              </w:rPr>
              <w:t>e</w:t>
            </w:r>
            <w:r>
              <w:rPr>
                <w:rFonts w:ascii="Arial" w:hAnsi="Arial" w:cs="Arial"/>
                <w:color w:val="000000"/>
                <w:sz w:val="20"/>
              </w:rPr>
              <w:t xml:space="preserve"> </w:t>
            </w:r>
            <w:r>
              <w:rPr>
                <w:rStyle w:val="126"/>
                <w:rFonts w:ascii="Arial" w:hAnsi="Arial" w:cs="Arial"/>
                <w:color w:val="000000"/>
                <w:sz w:val="20"/>
              </w:rPr>
              <w:t>tenderit</w:t>
            </w:r>
            <w:r>
              <w:rPr>
                <w:rFonts w:ascii="Arial" w:hAnsi="Arial" w:cs="Arial"/>
                <w:color w:val="000000"/>
                <w:sz w:val="20"/>
              </w:rPr>
              <w:t xml:space="preserve">, pa </w:t>
            </w:r>
            <w:r>
              <w:rPr>
                <w:rStyle w:val="126"/>
                <w:rFonts w:ascii="Arial" w:hAnsi="Arial" w:cs="Arial"/>
                <w:color w:val="000000"/>
                <w:sz w:val="20"/>
              </w:rPr>
              <w:t>konfiskim</w:t>
            </w:r>
            <w:r>
              <w:rPr>
                <w:rFonts w:ascii="Arial" w:hAnsi="Arial" w:cs="Arial"/>
                <w:color w:val="000000"/>
                <w:sz w:val="20"/>
              </w:rPr>
              <w:t xml:space="preserve"> </w:t>
            </w:r>
            <w:r>
              <w:rPr>
                <w:rStyle w:val="126"/>
                <w:rFonts w:ascii="Arial" w:hAnsi="Arial" w:cs="Arial"/>
                <w:color w:val="000000"/>
                <w:sz w:val="20"/>
              </w:rPr>
              <w:t>të Sigurimit të</w:t>
            </w:r>
            <w:r>
              <w:rPr>
                <w:rFonts w:ascii="Arial" w:hAnsi="Arial" w:cs="Arial"/>
                <w:color w:val="000000"/>
                <w:sz w:val="20"/>
              </w:rPr>
              <w:t xml:space="preserve"> T</w:t>
            </w:r>
            <w:r>
              <w:rPr>
                <w:rStyle w:val="126"/>
                <w:rFonts w:ascii="Arial" w:hAnsi="Arial" w:cs="Arial"/>
                <w:color w:val="000000"/>
                <w:sz w:val="20"/>
              </w:rPr>
              <w:t>enderit</w:t>
            </w:r>
            <w:r>
              <w:rPr>
                <w:rFonts w:ascii="Arial" w:hAnsi="Arial" w:cs="Arial"/>
                <w:color w:val="000000"/>
                <w:sz w:val="20"/>
              </w:rPr>
              <w:t xml:space="preserve"> </w:t>
            </w:r>
            <w:r>
              <w:rPr>
                <w:rStyle w:val="126"/>
                <w:rFonts w:ascii="Arial" w:hAnsi="Arial" w:cs="Arial"/>
                <w:color w:val="000000"/>
                <w:sz w:val="20"/>
              </w:rPr>
              <w:t>të tij</w:t>
            </w:r>
            <w:r>
              <w:rPr>
                <w:rFonts w:ascii="Arial" w:hAnsi="Arial" w:cs="Arial"/>
                <w:color w:val="000000"/>
                <w:sz w:val="20"/>
              </w:rPr>
              <w:t>.</w:t>
            </w:r>
          </w:p>
          <w:p w14:paraId="37B2AF2E">
            <w:pPr>
              <w:tabs>
                <w:tab w:val="left" w:pos="2475"/>
              </w:tabs>
              <w:spacing w:after="0"/>
              <w:textAlignment w:val="top"/>
              <w:rPr>
                <w:rFonts w:ascii="Arial" w:hAnsi="Arial" w:cs="Arial"/>
                <w:b/>
                <w:color w:val="000000"/>
                <w:sz w:val="20"/>
              </w:rPr>
            </w:pPr>
            <w:r>
              <w:rPr>
                <w:rFonts w:ascii="Arial" w:hAnsi="Arial" w:cs="Arial"/>
                <w:color w:val="000000"/>
                <w:sz w:val="20"/>
              </w:rPr>
              <w:tab/>
            </w:r>
          </w:p>
        </w:tc>
      </w:tr>
      <w:tr w14:paraId="7AD0785C">
        <w:tblPrEx>
          <w:tblCellMar>
            <w:top w:w="0" w:type="dxa"/>
            <w:left w:w="108" w:type="dxa"/>
            <w:bottom w:w="0" w:type="dxa"/>
            <w:right w:w="108" w:type="dxa"/>
          </w:tblCellMar>
        </w:tblPrEx>
        <w:trPr>
          <w:jc w:val="center"/>
        </w:trPr>
        <w:tc>
          <w:tcPr>
            <w:tcW w:w="2120" w:type="dxa"/>
            <w:tcBorders>
              <w:bottom w:val="nil"/>
            </w:tcBorders>
          </w:tcPr>
          <w:p w14:paraId="15FACBAB">
            <w:pPr>
              <w:pStyle w:val="112"/>
              <w:tabs>
                <w:tab w:val="clear" w:pos="360"/>
              </w:tabs>
              <w:spacing w:before="0" w:after="200"/>
              <w:ind w:left="0" w:firstLine="0"/>
              <w:rPr>
                <w:rFonts w:ascii="Arial" w:hAnsi="Arial" w:cs="Arial"/>
                <w:sz w:val="20"/>
                <w:lang w:val="sq-AL"/>
              </w:rPr>
            </w:pPr>
            <w:r>
              <w:rPr>
                <w:rFonts w:ascii="Arial" w:hAnsi="Arial" w:cs="Arial"/>
                <w:sz w:val="20"/>
                <w:lang w:val="sq-AL"/>
              </w:rPr>
              <w:t xml:space="preserve">22. Vulosja dhe </w:t>
            </w:r>
            <w:r>
              <w:rPr>
                <w:rFonts w:ascii="Arial" w:hAnsi="Arial" w:cs="Arial"/>
                <w:color w:val="000000"/>
                <w:sz w:val="20"/>
                <w:lang w:val="sq-AL"/>
              </w:rPr>
              <w:t>Shënimi i Tenderit</w:t>
            </w:r>
          </w:p>
        </w:tc>
        <w:tc>
          <w:tcPr>
            <w:tcW w:w="6405" w:type="dxa"/>
          </w:tcPr>
          <w:p w14:paraId="51640988">
            <w:pPr>
              <w:spacing w:after="0"/>
              <w:textAlignment w:val="top"/>
              <w:rPr>
                <w:rFonts w:ascii="Arial" w:hAnsi="Arial" w:cs="Arial"/>
                <w:color w:val="000000"/>
                <w:sz w:val="20"/>
                <w:lang w:eastAsia="en-US"/>
              </w:rPr>
            </w:pPr>
            <w:r>
              <w:rPr>
                <w:rFonts w:ascii="Arial" w:hAnsi="Arial" w:cs="Arial"/>
                <w:color w:val="000000"/>
                <w:sz w:val="20"/>
                <w:lang w:eastAsia="en-US"/>
              </w:rPr>
              <w:t>22.1 Tenderuesi duhet të përgatisë një origjinal te dokumenteve q</w:t>
            </w:r>
            <w:r>
              <w:rPr>
                <w:rFonts w:ascii="Arial" w:hAnsi="Arial" w:cs="Arial"/>
                <w:color w:val="000000"/>
                <w:sz w:val="20"/>
              </w:rPr>
              <w:t>ë</w:t>
            </w:r>
            <w:r>
              <w:rPr>
                <w:rFonts w:ascii="Arial" w:hAnsi="Arial" w:cs="Arial"/>
                <w:color w:val="000000"/>
                <w:sz w:val="20"/>
                <w:lang w:eastAsia="en-US"/>
              </w:rPr>
              <w:t xml:space="preserve"> përbëjnë  tenderin, siç përshkruhet në Informatat për Tenderuesit Neni 19 dhe në mënyrë të qartë të shënojë atë </w:t>
            </w:r>
            <w:r>
              <w:rPr>
                <w:rFonts w:ascii="Arial" w:hAnsi="Arial" w:cs="Arial"/>
                <w:b/>
                <w:color w:val="000000"/>
                <w:sz w:val="20"/>
                <w:lang w:eastAsia="en-US"/>
              </w:rPr>
              <w:t xml:space="preserve">"ORIGJINAL." </w:t>
            </w:r>
            <w:r>
              <w:rPr>
                <w:rFonts w:ascii="Arial" w:hAnsi="Arial" w:cs="Arial"/>
                <w:color w:val="000000"/>
                <w:sz w:val="20"/>
                <w:lang w:eastAsia="en-US"/>
              </w:rPr>
              <w:t xml:space="preserve">Përveç kësaj, Tenderuesi duhet të paraqesë kopje të tenderit, në numrin e </w:t>
            </w:r>
            <w:r>
              <w:rPr>
                <w:rFonts w:ascii="Arial" w:hAnsi="Arial" w:cs="Arial"/>
                <w:b/>
                <w:color w:val="000000"/>
                <w:sz w:val="20"/>
                <w:lang w:eastAsia="en-US"/>
              </w:rPr>
              <w:t>shënuar në FDT</w:t>
            </w:r>
            <w:r>
              <w:rPr>
                <w:rFonts w:ascii="Arial" w:hAnsi="Arial" w:cs="Arial"/>
                <w:color w:val="000000"/>
                <w:sz w:val="20"/>
                <w:lang w:eastAsia="en-US"/>
              </w:rPr>
              <w:t xml:space="preserve"> dhe në mënyrë të qartë shënojë ato </w:t>
            </w:r>
            <w:r>
              <w:rPr>
                <w:rFonts w:ascii="Arial" w:hAnsi="Arial" w:cs="Arial"/>
                <w:b/>
                <w:color w:val="000000"/>
                <w:sz w:val="20"/>
                <w:lang w:eastAsia="en-US"/>
              </w:rPr>
              <w:t>"KOPJE".</w:t>
            </w:r>
          </w:p>
          <w:p w14:paraId="05CE78E8">
            <w:pPr>
              <w:spacing w:after="0"/>
              <w:ind w:left="2385" w:hanging="2385"/>
              <w:textAlignment w:val="top"/>
              <w:rPr>
                <w:rFonts w:ascii="Arial" w:hAnsi="Arial" w:cs="Arial"/>
                <w:color w:val="000000"/>
                <w:sz w:val="20"/>
                <w:lang w:eastAsia="en-US"/>
              </w:rPr>
            </w:pPr>
          </w:p>
          <w:p w14:paraId="5D010F3B">
            <w:pPr>
              <w:spacing w:after="0"/>
              <w:textAlignment w:val="top"/>
              <w:rPr>
                <w:rFonts w:ascii="Arial" w:hAnsi="Arial" w:cs="Arial"/>
                <w:color w:val="000000"/>
                <w:sz w:val="20"/>
                <w:lang w:eastAsia="en-US"/>
              </w:rPr>
            </w:pPr>
            <w:r>
              <w:rPr>
                <w:rFonts w:ascii="Arial" w:hAnsi="Arial" w:cs="Arial"/>
                <w:color w:val="000000"/>
                <w:sz w:val="20"/>
                <w:lang w:eastAsia="en-US"/>
              </w:rPr>
              <w:t xml:space="preserve">22.2 Tenderuesi duhet të vendose tenderin origjinal dhe çdo kopje </w:t>
            </w:r>
            <w:r>
              <w:rPr>
                <w:rFonts w:ascii="Arial" w:hAnsi="Arial" w:cs="Arial"/>
                <w:b/>
                <w:color w:val="000000"/>
                <w:sz w:val="20"/>
                <w:lang w:eastAsia="en-US"/>
              </w:rPr>
              <w:t>në zarfe të</w:t>
            </w:r>
            <w:r>
              <w:rPr>
                <w:rFonts w:ascii="Arial" w:hAnsi="Arial" w:cs="Arial"/>
                <w:color w:val="000000"/>
                <w:sz w:val="20"/>
                <w:lang w:eastAsia="en-US"/>
              </w:rPr>
              <w:t xml:space="preserve"> </w:t>
            </w:r>
            <w:r>
              <w:rPr>
                <w:rFonts w:ascii="Arial" w:hAnsi="Arial" w:cs="Arial"/>
                <w:b/>
                <w:color w:val="000000"/>
                <w:sz w:val="20"/>
                <w:lang w:eastAsia="en-US"/>
              </w:rPr>
              <w:t xml:space="preserve">veçanta </w:t>
            </w:r>
            <w:r>
              <w:rPr>
                <w:rFonts w:ascii="Arial" w:hAnsi="Arial" w:cs="Arial"/>
                <w:color w:val="000000"/>
                <w:sz w:val="20"/>
                <w:lang w:eastAsia="en-US"/>
              </w:rPr>
              <w:t>dhe në anën e përparme të secilit zarf do të:</w:t>
            </w:r>
          </w:p>
          <w:p w14:paraId="0CB2380F">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Shënon qartë si “</w:t>
            </w:r>
            <w:r>
              <w:rPr>
                <w:rFonts w:ascii="Arial" w:hAnsi="Arial" w:cs="Arial"/>
                <w:b/>
                <w:i/>
                <w:color w:val="000000"/>
                <w:sz w:val="20"/>
              </w:rPr>
              <w:t>Origjinal</w:t>
            </w:r>
            <w:r>
              <w:rPr>
                <w:rFonts w:ascii="Arial" w:hAnsi="Arial" w:cs="Arial"/>
                <w:b/>
                <w:color w:val="000000"/>
                <w:sz w:val="20"/>
              </w:rPr>
              <w:t>”</w:t>
            </w:r>
            <w:r>
              <w:rPr>
                <w:rFonts w:ascii="Arial" w:hAnsi="Arial" w:cs="Arial"/>
                <w:color w:val="000000"/>
                <w:sz w:val="20"/>
              </w:rPr>
              <w:t xml:space="preserve"> apo </w:t>
            </w:r>
            <w:r>
              <w:rPr>
                <w:rFonts w:ascii="Arial" w:hAnsi="Arial" w:cs="Arial"/>
                <w:b/>
                <w:color w:val="000000"/>
                <w:sz w:val="20"/>
              </w:rPr>
              <w:t>“</w:t>
            </w:r>
            <w:r>
              <w:rPr>
                <w:rFonts w:ascii="Arial" w:hAnsi="Arial" w:cs="Arial"/>
                <w:b/>
                <w:i/>
                <w:color w:val="000000"/>
                <w:sz w:val="20"/>
              </w:rPr>
              <w:t xml:space="preserve"> Kopje</w:t>
            </w:r>
            <w:r>
              <w:rPr>
                <w:rFonts w:ascii="Arial" w:hAnsi="Arial" w:cs="Arial"/>
                <w:b/>
                <w:color w:val="000000"/>
                <w:sz w:val="20"/>
              </w:rPr>
              <w:t>”</w:t>
            </w:r>
            <w:r>
              <w:rPr>
                <w:rFonts w:ascii="Arial" w:hAnsi="Arial" w:cs="Arial"/>
                <w:color w:val="000000"/>
                <w:sz w:val="20"/>
              </w:rPr>
              <w:t>;</w:t>
            </w:r>
          </w:p>
          <w:p w14:paraId="2C1D40F6">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Shënon numrin e Prokurimit siç është e cekur në dosjen e tenderit;</w:t>
            </w:r>
          </w:p>
          <w:p w14:paraId="7951E8F7">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 xml:space="preserve">Shënon emrin dhe adresën e tenderuesit.  </w:t>
            </w:r>
          </w:p>
          <w:p w14:paraId="5663567F">
            <w:pPr>
              <w:pStyle w:val="114"/>
              <w:ind w:left="3270"/>
              <w:jc w:val="left"/>
              <w:textAlignment w:val="top"/>
              <w:rPr>
                <w:rFonts w:ascii="Arial" w:hAnsi="Arial" w:cs="Arial"/>
                <w:color w:val="000000"/>
                <w:sz w:val="20"/>
              </w:rPr>
            </w:pPr>
          </w:p>
          <w:p w14:paraId="3BFA2F43">
            <w:pPr>
              <w:spacing w:after="120"/>
              <w:rPr>
                <w:rFonts w:ascii="Arial" w:hAnsi="Arial" w:cs="Arial"/>
                <w:sz w:val="20"/>
              </w:rPr>
            </w:pPr>
            <w:r>
              <w:rPr>
                <w:rFonts w:ascii="Arial" w:hAnsi="Arial" w:cs="Arial"/>
                <w:color w:val="000000"/>
                <w:sz w:val="20"/>
                <w:lang w:eastAsia="en-US"/>
              </w:rPr>
              <w:t xml:space="preserve">22.3 </w:t>
            </w:r>
            <w:r>
              <w:rPr>
                <w:rFonts w:ascii="Arial" w:hAnsi="Arial" w:cs="Arial"/>
                <w:sz w:val="20"/>
              </w:rPr>
              <w:t xml:space="preserve"> Zarfet pastaj duhet të mbyllen në një zarf të jashtëm që tregon vetëm: </w:t>
            </w:r>
          </w:p>
          <w:p w14:paraId="07F3F11D">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Adresën e vendit të dorëzimit të tenderëve;</w:t>
            </w:r>
          </w:p>
          <w:p w14:paraId="34759BDC">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Numrin e Prokurimit;</w:t>
            </w:r>
          </w:p>
          <w:p w14:paraId="1EE914DA">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Paralajmërim, se zarfi nuk guxon të  hapet para datës dhe kohës së hapjes së tenderit; dhe</w:t>
            </w:r>
          </w:p>
          <w:p w14:paraId="6ED19F12">
            <w:pPr>
              <w:pStyle w:val="114"/>
              <w:numPr>
                <w:ilvl w:val="0"/>
                <w:numId w:val="16"/>
              </w:numPr>
              <w:ind w:left="924" w:hanging="357"/>
              <w:jc w:val="left"/>
              <w:textAlignment w:val="top"/>
              <w:rPr>
                <w:rFonts w:ascii="Arial" w:hAnsi="Arial" w:cs="Arial"/>
                <w:color w:val="000000"/>
                <w:sz w:val="20"/>
              </w:rPr>
            </w:pPr>
            <w:r>
              <w:rPr>
                <w:rFonts w:ascii="Arial" w:hAnsi="Arial" w:cs="Arial"/>
                <w:color w:val="000000"/>
                <w:sz w:val="20"/>
              </w:rPr>
              <w:t>Emrin dhe adresa e tenderuesit</w:t>
            </w:r>
          </w:p>
        </w:tc>
      </w:tr>
      <w:tr w14:paraId="5BD4A30F">
        <w:tblPrEx>
          <w:tblCellMar>
            <w:top w:w="0" w:type="dxa"/>
            <w:left w:w="108" w:type="dxa"/>
            <w:bottom w:w="0" w:type="dxa"/>
            <w:right w:w="108" w:type="dxa"/>
          </w:tblCellMar>
        </w:tblPrEx>
        <w:trPr>
          <w:jc w:val="center"/>
        </w:trPr>
        <w:tc>
          <w:tcPr>
            <w:tcW w:w="2120" w:type="dxa"/>
          </w:tcPr>
          <w:p w14:paraId="2AA66752">
            <w:pPr>
              <w:pStyle w:val="111"/>
              <w:tabs>
                <w:tab w:val="clear" w:pos="360"/>
              </w:tabs>
              <w:spacing w:before="0" w:after="200"/>
              <w:ind w:left="0" w:firstLine="0"/>
              <w:rPr>
                <w:rFonts w:ascii="Arial" w:hAnsi="Arial" w:cs="Arial"/>
                <w:sz w:val="20"/>
                <w:lang w:val="sq-AL"/>
              </w:rPr>
            </w:pPr>
          </w:p>
        </w:tc>
        <w:tc>
          <w:tcPr>
            <w:tcW w:w="6405" w:type="dxa"/>
            <w:tcBorders>
              <w:bottom w:val="nil"/>
            </w:tcBorders>
          </w:tcPr>
          <w:p w14:paraId="4CD67F0B">
            <w:pPr>
              <w:pStyle w:val="2"/>
              <w:spacing w:before="120" w:after="120"/>
              <w:rPr>
                <w:rFonts w:ascii="Arial" w:hAnsi="Arial" w:cs="Arial"/>
                <w:sz w:val="24"/>
                <w:szCs w:val="24"/>
                <w:lang w:val="sq-AL" w:eastAsia="en-US"/>
              </w:rPr>
            </w:pPr>
            <w:bookmarkStart w:id="75" w:name="_Toc286833824"/>
            <w:bookmarkStart w:id="76" w:name="_Toc444607926"/>
            <w:r>
              <w:rPr>
                <w:rFonts w:ascii="Arial" w:hAnsi="Arial" w:cs="Arial"/>
                <w:sz w:val="24"/>
                <w:szCs w:val="24"/>
                <w:lang w:val="sq-AL" w:eastAsia="en-US"/>
              </w:rPr>
              <w:t>Dorëzimi dhe Hapja e Tenderëve</w:t>
            </w:r>
            <w:bookmarkEnd w:id="75"/>
            <w:bookmarkEnd w:id="76"/>
          </w:p>
        </w:tc>
      </w:tr>
      <w:tr w14:paraId="08D28A64">
        <w:tblPrEx>
          <w:tblCellMar>
            <w:top w:w="0" w:type="dxa"/>
            <w:left w:w="108" w:type="dxa"/>
            <w:bottom w:w="0" w:type="dxa"/>
            <w:right w:w="108" w:type="dxa"/>
          </w:tblCellMar>
        </w:tblPrEx>
        <w:trPr>
          <w:jc w:val="center"/>
        </w:trPr>
        <w:tc>
          <w:tcPr>
            <w:tcW w:w="2120" w:type="dxa"/>
          </w:tcPr>
          <w:p w14:paraId="07805D08">
            <w:pPr>
              <w:pStyle w:val="112"/>
              <w:spacing w:before="0" w:after="200"/>
              <w:ind w:left="0" w:firstLine="0"/>
              <w:rPr>
                <w:rFonts w:ascii="Arial" w:hAnsi="Arial" w:cs="Arial"/>
                <w:sz w:val="20"/>
                <w:lang w:val="sq-AL"/>
              </w:rPr>
            </w:pPr>
            <w:bookmarkStart w:id="77" w:name="_Toc61936862"/>
            <w:bookmarkStart w:id="78" w:name="_Toc424009124"/>
            <w:bookmarkStart w:id="79" w:name="_Toc438907227"/>
            <w:bookmarkStart w:id="80" w:name="_Toc438733990"/>
            <w:bookmarkStart w:id="81" w:name="_Toc438907028"/>
            <w:bookmarkStart w:id="82" w:name="_Toc438438846"/>
            <w:bookmarkStart w:id="83" w:name="_Toc438532618"/>
            <w:r>
              <w:rPr>
                <w:rFonts w:ascii="Arial" w:hAnsi="Arial" w:cs="Arial"/>
                <w:sz w:val="20"/>
                <w:lang w:val="sq-AL"/>
              </w:rPr>
              <w:t>23. Afati i fundit për dorëzim te tenderëve</w:t>
            </w:r>
            <w:bookmarkEnd w:id="77"/>
            <w:bookmarkEnd w:id="78"/>
            <w:bookmarkEnd w:id="79"/>
            <w:bookmarkEnd w:id="80"/>
            <w:bookmarkEnd w:id="81"/>
            <w:bookmarkEnd w:id="82"/>
            <w:bookmarkEnd w:id="83"/>
          </w:p>
        </w:tc>
        <w:tc>
          <w:tcPr>
            <w:tcW w:w="6405" w:type="dxa"/>
          </w:tcPr>
          <w:p w14:paraId="627DA291">
            <w:pPr>
              <w:spacing w:after="0"/>
              <w:textAlignment w:val="top"/>
              <w:rPr>
                <w:rFonts w:ascii="Arial" w:hAnsi="Arial" w:cs="Arial"/>
                <w:color w:val="000000"/>
                <w:sz w:val="20"/>
              </w:rPr>
            </w:pPr>
            <w:r>
              <w:rPr>
                <w:rFonts w:ascii="Arial" w:hAnsi="Arial" w:cs="Arial"/>
                <w:color w:val="000000"/>
                <w:sz w:val="20"/>
                <w:lang w:eastAsia="en-US"/>
              </w:rPr>
              <w:t xml:space="preserve">23.1 </w:t>
            </w:r>
            <w:r>
              <w:rPr>
                <w:rFonts w:ascii="Arial" w:hAnsi="Arial" w:cs="Arial"/>
                <w:color w:val="000000"/>
                <w:sz w:val="20"/>
              </w:rPr>
              <w:t>Tenderët do të pranohen nga Autoriteti Kontraktues jo më vonë se</w:t>
            </w:r>
            <w:r>
              <w:rPr>
                <w:rFonts w:ascii="Arial" w:hAnsi="Arial" w:cs="Arial"/>
                <w:color w:val="000000"/>
                <w:sz w:val="20"/>
                <w:lang w:eastAsia="en-US"/>
              </w:rPr>
              <w:t xml:space="preserve"> data dhe koha e </w:t>
            </w:r>
            <w:r>
              <w:rPr>
                <w:rFonts w:ascii="Arial" w:hAnsi="Arial" w:cs="Arial"/>
                <w:b/>
                <w:color w:val="000000"/>
                <w:sz w:val="20"/>
                <w:lang w:eastAsia="en-US"/>
              </w:rPr>
              <w:t>shënuar në FDT.</w:t>
            </w:r>
          </w:p>
        </w:tc>
      </w:tr>
      <w:tr w14:paraId="12D099BC">
        <w:tblPrEx>
          <w:tblCellMar>
            <w:top w:w="0" w:type="dxa"/>
            <w:left w:w="108" w:type="dxa"/>
            <w:bottom w:w="0" w:type="dxa"/>
            <w:right w:w="108" w:type="dxa"/>
          </w:tblCellMar>
        </w:tblPrEx>
        <w:trPr>
          <w:jc w:val="center"/>
        </w:trPr>
        <w:tc>
          <w:tcPr>
            <w:tcW w:w="2120" w:type="dxa"/>
          </w:tcPr>
          <w:p w14:paraId="1013DF85">
            <w:pPr>
              <w:pStyle w:val="112"/>
              <w:spacing w:before="0" w:after="200"/>
              <w:rPr>
                <w:rFonts w:ascii="Arial" w:hAnsi="Arial" w:cs="Arial"/>
                <w:sz w:val="20"/>
                <w:lang w:val="sq-AL"/>
              </w:rPr>
            </w:pPr>
            <w:bookmarkStart w:id="84" w:name="_Toc438532619"/>
            <w:bookmarkStart w:id="85" w:name="_Toc438733991"/>
            <w:bookmarkStart w:id="86" w:name="_Toc438907029"/>
            <w:bookmarkStart w:id="87" w:name="_Toc438907228"/>
            <w:bookmarkStart w:id="88" w:name="_Toc61936863"/>
            <w:bookmarkStart w:id="89" w:name="_Toc438438847"/>
            <w:r>
              <w:rPr>
                <w:rFonts w:ascii="Arial" w:hAnsi="Arial" w:cs="Arial"/>
                <w:sz w:val="20"/>
                <w:lang w:val="sq-AL"/>
              </w:rPr>
              <w:t>24. Tenderët e vonuar</w:t>
            </w:r>
            <w:bookmarkEnd w:id="84"/>
            <w:bookmarkEnd w:id="85"/>
            <w:bookmarkEnd w:id="86"/>
            <w:bookmarkEnd w:id="87"/>
            <w:bookmarkEnd w:id="88"/>
            <w:bookmarkEnd w:id="89"/>
          </w:p>
        </w:tc>
        <w:tc>
          <w:tcPr>
            <w:tcW w:w="6405" w:type="dxa"/>
          </w:tcPr>
          <w:p w14:paraId="6572A5D7">
            <w:pPr>
              <w:spacing w:after="0"/>
              <w:textAlignment w:val="top"/>
              <w:rPr>
                <w:rFonts w:ascii="Arial" w:hAnsi="Arial" w:cs="Arial"/>
                <w:color w:val="000000"/>
                <w:sz w:val="20"/>
                <w:lang w:eastAsia="en-US"/>
              </w:rPr>
            </w:pPr>
            <w:r>
              <w:rPr>
                <w:rFonts w:ascii="Arial" w:hAnsi="Arial" w:cs="Arial"/>
                <w:color w:val="000000"/>
                <w:sz w:val="20"/>
                <w:lang w:eastAsia="en-US"/>
              </w:rPr>
              <w:t xml:space="preserve">24.1 Autoriteti Kontraktues nuk do marrë në konsideratë ndonjë tender që arrin pas aftit të fundit për dorëzimin e tenderëve. Cilido tender i pranuar nga Autoriteti Kontraktues pas afatit të fundit për  dorëzimin e tenderëve do të deklarohet i vonshëm dhe do t’i kthehet tenderuesit i pa hapur.   </w:t>
            </w:r>
          </w:p>
          <w:p w14:paraId="7A510F9B">
            <w:pPr>
              <w:spacing w:after="0"/>
              <w:textAlignment w:val="top"/>
              <w:rPr>
                <w:rFonts w:ascii="Arial" w:hAnsi="Arial" w:cs="Arial"/>
                <w:color w:val="000000"/>
                <w:sz w:val="20"/>
                <w:lang w:eastAsia="en-US"/>
              </w:rPr>
            </w:pPr>
          </w:p>
        </w:tc>
      </w:tr>
      <w:tr w14:paraId="23401CFD">
        <w:tblPrEx>
          <w:tblCellMar>
            <w:top w:w="0" w:type="dxa"/>
            <w:left w:w="108" w:type="dxa"/>
            <w:bottom w:w="0" w:type="dxa"/>
            <w:right w:w="108" w:type="dxa"/>
          </w:tblCellMar>
        </w:tblPrEx>
        <w:trPr>
          <w:jc w:val="center"/>
        </w:trPr>
        <w:tc>
          <w:tcPr>
            <w:tcW w:w="2120" w:type="dxa"/>
            <w:tcBorders>
              <w:bottom w:val="nil"/>
            </w:tcBorders>
          </w:tcPr>
          <w:p w14:paraId="67A66E7A">
            <w:pPr>
              <w:pStyle w:val="112"/>
              <w:spacing w:before="0" w:after="200"/>
              <w:ind w:left="0" w:firstLine="0"/>
              <w:rPr>
                <w:rFonts w:ascii="Arial" w:hAnsi="Arial" w:cs="Arial"/>
                <w:sz w:val="20"/>
                <w:lang w:val="sq-AL"/>
              </w:rPr>
            </w:pPr>
            <w:bookmarkStart w:id="90" w:name="_Toc424009126"/>
            <w:bookmarkStart w:id="91" w:name="_Toc438438848"/>
            <w:bookmarkStart w:id="92" w:name="_Toc438532620"/>
            <w:bookmarkStart w:id="93" w:name="_Toc61936864"/>
            <w:bookmarkStart w:id="94" w:name="_Toc438733992"/>
            <w:bookmarkStart w:id="95" w:name="_Toc438907229"/>
            <w:bookmarkStart w:id="96" w:name="_Toc438907030"/>
            <w:r>
              <w:rPr>
                <w:rFonts w:ascii="Arial" w:hAnsi="Arial" w:cs="Arial"/>
                <w:sz w:val="20"/>
                <w:lang w:val="sq-AL"/>
              </w:rPr>
              <w:t xml:space="preserve">25. </w:t>
            </w:r>
            <w:r>
              <w:rPr>
                <w:rFonts w:ascii="Arial" w:hAnsi="Arial" w:cs="Arial"/>
                <w:color w:val="000000"/>
                <w:sz w:val="20"/>
                <w:lang w:val="sq-AL"/>
              </w:rPr>
              <w:t>Tërheqja</w:t>
            </w:r>
            <w:r>
              <w:rPr>
                <w:rFonts w:ascii="Arial" w:hAnsi="Arial" w:cs="Arial"/>
                <w:sz w:val="20"/>
                <w:lang w:val="sq-AL"/>
              </w:rPr>
              <w:t xml:space="preserve"> , Zëvendësimi, dhe Modifikimi i Tenderëve</w:t>
            </w:r>
          </w:p>
          <w:bookmarkEnd w:id="90"/>
          <w:bookmarkEnd w:id="91"/>
          <w:bookmarkEnd w:id="92"/>
          <w:bookmarkEnd w:id="93"/>
          <w:bookmarkEnd w:id="94"/>
          <w:bookmarkEnd w:id="95"/>
          <w:bookmarkEnd w:id="96"/>
          <w:p w14:paraId="76E92C76">
            <w:pPr>
              <w:pStyle w:val="112"/>
              <w:spacing w:before="0" w:after="200"/>
              <w:ind w:left="0" w:firstLine="0"/>
              <w:rPr>
                <w:rFonts w:ascii="Arial" w:hAnsi="Arial" w:cs="Arial"/>
                <w:sz w:val="20"/>
                <w:lang w:val="sq-AL"/>
              </w:rPr>
            </w:pPr>
          </w:p>
        </w:tc>
        <w:tc>
          <w:tcPr>
            <w:tcW w:w="6405" w:type="dxa"/>
          </w:tcPr>
          <w:p w14:paraId="6A5BAB84">
            <w:pPr>
              <w:spacing w:after="0"/>
              <w:textAlignment w:val="top"/>
              <w:rPr>
                <w:rFonts w:ascii="Arial" w:hAnsi="Arial" w:cs="Arial"/>
                <w:color w:val="000000"/>
                <w:sz w:val="20"/>
                <w:lang w:eastAsia="en-US"/>
              </w:rPr>
            </w:pPr>
            <w:r>
              <w:rPr>
                <w:rFonts w:ascii="Arial" w:hAnsi="Arial" w:cs="Arial"/>
                <w:color w:val="000000"/>
                <w:sz w:val="20"/>
                <w:lang w:eastAsia="en-US"/>
              </w:rPr>
              <w:t xml:space="preserve">25.1 Përveç nëse është cekur </w:t>
            </w:r>
            <w:r>
              <w:rPr>
                <w:rFonts w:ascii="Arial" w:hAnsi="Arial" w:cs="Arial"/>
                <w:b/>
                <w:color w:val="000000"/>
                <w:sz w:val="20"/>
                <w:lang w:eastAsia="en-US"/>
              </w:rPr>
              <w:t xml:space="preserve">ndryshe në FDT, </w:t>
            </w:r>
            <w:r>
              <w:rPr>
                <w:rFonts w:ascii="Arial" w:hAnsi="Arial" w:cs="Arial"/>
                <w:color w:val="000000"/>
                <w:sz w:val="20"/>
                <w:lang w:eastAsia="en-US"/>
              </w:rPr>
              <w:t xml:space="preserve">Tenderuesi </w:t>
            </w:r>
            <w:r>
              <w:rPr>
                <w:rFonts w:ascii="Arial" w:hAnsi="Arial" w:cs="Arial"/>
                <w:b/>
                <w:color w:val="000000"/>
                <w:sz w:val="20"/>
                <w:lang w:eastAsia="en-US"/>
              </w:rPr>
              <w:t xml:space="preserve"> </w:t>
            </w:r>
            <w:r>
              <w:rPr>
                <w:rFonts w:ascii="Arial" w:hAnsi="Arial" w:cs="Arial"/>
                <w:color w:val="000000"/>
                <w:sz w:val="20"/>
                <w:lang w:eastAsia="en-US"/>
              </w:rPr>
              <w:t>mund te tërheq, Ndërron apo Modifikoj tenderin e tij, pasi qe të jete dorëzuar duke dorëzuar</w:t>
            </w:r>
            <w:r>
              <w:rPr>
                <w:rFonts w:ascii="Arial" w:hAnsi="Arial" w:cs="Arial"/>
                <w:b/>
                <w:color w:val="000000"/>
                <w:sz w:val="20"/>
                <w:lang w:eastAsia="en-US"/>
              </w:rPr>
              <w:t xml:space="preserve"> </w:t>
            </w:r>
            <w:r>
              <w:rPr>
                <w:rFonts w:ascii="Arial" w:hAnsi="Arial" w:cs="Arial"/>
                <w:color w:val="000000"/>
                <w:sz w:val="20"/>
                <w:lang w:eastAsia="en-US"/>
              </w:rPr>
              <w:t>një shkresë me shkrim tek Autoriteti Kontraktues, e cila shkrese duhet te jete e nënshkruar siç duhet</w:t>
            </w:r>
            <w:r>
              <w:rPr>
                <w:rFonts w:ascii="Arial" w:hAnsi="Arial" w:cs="Arial"/>
                <w:b/>
                <w:color w:val="000000"/>
                <w:sz w:val="20"/>
                <w:lang w:eastAsia="en-US"/>
              </w:rPr>
              <w:t xml:space="preserve"> </w:t>
            </w:r>
            <w:r>
              <w:rPr>
                <w:rFonts w:ascii="Arial" w:hAnsi="Arial" w:cs="Arial"/>
                <w:color w:val="000000"/>
                <w:sz w:val="20"/>
                <w:lang w:eastAsia="en-US"/>
              </w:rPr>
              <w:t xml:space="preserve">nga përfaqësuesi autorizues. </w:t>
            </w:r>
            <w:r>
              <w:rPr>
                <w:rFonts w:ascii="Arial" w:hAnsi="Arial" w:cs="Arial"/>
                <w:b/>
                <w:color w:val="000000"/>
                <w:sz w:val="20"/>
                <w:lang w:eastAsia="en-US"/>
              </w:rPr>
              <w:t xml:space="preserve"> </w:t>
            </w:r>
            <w:r>
              <w:rPr>
                <w:rFonts w:ascii="Arial" w:hAnsi="Arial" w:cs="Arial"/>
                <w:color w:val="000000"/>
                <w:sz w:val="20"/>
                <w:lang w:eastAsia="en-US"/>
              </w:rPr>
              <w:t>Zëvendësimin përkatës ose modifikim të tenderit duhet të shoqërohen me njoftimin përkatës me shkrim. Të gjitha njoftimet duhet të jenë:</w:t>
            </w:r>
          </w:p>
          <w:p w14:paraId="59CFE282">
            <w:pPr>
              <w:spacing w:after="0"/>
              <w:textAlignment w:val="top"/>
              <w:rPr>
                <w:rFonts w:ascii="Arial" w:hAnsi="Arial" w:cs="Arial"/>
                <w:b/>
                <w:color w:val="000000"/>
                <w:sz w:val="20"/>
                <w:lang w:eastAsia="en-US"/>
              </w:rPr>
            </w:pPr>
          </w:p>
          <w:p w14:paraId="17318339">
            <w:pPr>
              <w:pStyle w:val="114"/>
              <w:ind w:left="567"/>
              <w:textAlignment w:val="top"/>
              <w:rPr>
                <w:rStyle w:val="126"/>
                <w:rFonts w:ascii="Arial" w:hAnsi="Arial" w:cs="Arial"/>
                <w:color w:val="000000"/>
                <w:sz w:val="20"/>
              </w:rPr>
            </w:pPr>
            <w:r>
              <w:rPr>
                <w:rFonts w:ascii="Arial" w:hAnsi="Arial" w:cs="Arial"/>
                <w:color w:val="000000"/>
                <w:sz w:val="20"/>
              </w:rPr>
              <w:t xml:space="preserve">a. të dorëzuara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përputhje</w:t>
            </w:r>
            <w:r>
              <w:rPr>
                <w:rFonts w:ascii="Arial" w:hAnsi="Arial" w:cs="Arial"/>
                <w:color w:val="000000"/>
                <w:sz w:val="20"/>
              </w:rPr>
              <w:t xml:space="preserve"> </w:t>
            </w:r>
            <w:r>
              <w:rPr>
                <w:rStyle w:val="126"/>
                <w:rFonts w:ascii="Arial" w:hAnsi="Arial" w:cs="Arial"/>
                <w:color w:val="000000"/>
                <w:sz w:val="20"/>
              </w:rPr>
              <w:t>me</w:t>
            </w:r>
            <w:r>
              <w:rPr>
                <w:rFonts w:ascii="Arial" w:hAnsi="Arial" w:cs="Arial"/>
                <w:color w:val="000000"/>
                <w:sz w:val="20"/>
              </w:rPr>
              <w:t xml:space="preserve"> </w:t>
            </w:r>
            <w:r>
              <w:rPr>
                <w:rStyle w:val="126"/>
                <w:rFonts w:ascii="Arial" w:hAnsi="Arial" w:cs="Arial"/>
                <w:color w:val="000000"/>
                <w:sz w:val="20"/>
              </w:rPr>
              <w:t xml:space="preserve"> Informatat</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Tenderuesit,  </w:t>
            </w:r>
            <w:r>
              <w:rPr>
                <w:rStyle w:val="126"/>
                <w:rFonts w:ascii="Arial" w:hAnsi="Arial" w:cs="Arial"/>
                <w:color w:val="000000"/>
                <w:sz w:val="20"/>
              </w:rPr>
              <w:t>Seksioni</w:t>
            </w:r>
            <w:r>
              <w:rPr>
                <w:rFonts w:ascii="Arial" w:hAnsi="Arial" w:cs="Arial"/>
                <w:color w:val="000000"/>
                <w:sz w:val="20"/>
              </w:rPr>
              <w:t xml:space="preserve"> </w:t>
            </w:r>
            <w:r>
              <w:rPr>
                <w:rStyle w:val="126"/>
                <w:rFonts w:ascii="Arial" w:hAnsi="Arial" w:cs="Arial"/>
                <w:color w:val="000000"/>
                <w:sz w:val="20"/>
              </w:rPr>
              <w:t>22</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përveç kësaj</w:t>
            </w:r>
            <w:r>
              <w:rPr>
                <w:rFonts w:ascii="Arial" w:hAnsi="Arial" w:cs="Arial"/>
                <w:color w:val="000000"/>
                <w:sz w:val="20"/>
              </w:rPr>
              <w:t xml:space="preserve">, </w:t>
            </w:r>
            <w:r>
              <w:rPr>
                <w:rStyle w:val="126"/>
                <w:rFonts w:ascii="Arial" w:hAnsi="Arial" w:cs="Arial"/>
                <w:color w:val="000000"/>
                <w:sz w:val="20"/>
              </w:rPr>
              <w:t>zarfet</w:t>
            </w:r>
            <w:r>
              <w:rPr>
                <w:rFonts w:ascii="Arial" w:hAnsi="Arial" w:cs="Arial"/>
                <w:color w:val="000000"/>
                <w:sz w:val="20"/>
              </w:rPr>
              <w:t xml:space="preserve"> </w:t>
            </w:r>
            <w:r>
              <w:rPr>
                <w:rStyle w:val="126"/>
                <w:rFonts w:ascii="Arial" w:hAnsi="Arial" w:cs="Arial"/>
                <w:color w:val="000000"/>
                <w:sz w:val="20"/>
              </w:rPr>
              <w:t>përkatës</w:t>
            </w:r>
            <w:r>
              <w:rPr>
                <w:rFonts w:ascii="Arial" w:hAnsi="Arial" w:cs="Arial"/>
                <w:color w:val="000000"/>
                <w:sz w:val="20"/>
              </w:rPr>
              <w:t xml:space="preserve">, do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shënohet</w:t>
            </w:r>
            <w:r>
              <w:rPr>
                <w:rFonts w:ascii="Arial" w:hAnsi="Arial" w:cs="Arial"/>
                <w:color w:val="000000"/>
                <w:sz w:val="20"/>
              </w:rPr>
              <w:t xml:space="preserve"> </w:t>
            </w:r>
            <w:r>
              <w:rPr>
                <w:rStyle w:val="126"/>
                <w:rFonts w:ascii="Arial" w:hAnsi="Arial" w:cs="Arial"/>
                <w:color w:val="000000"/>
                <w:sz w:val="20"/>
              </w:rPr>
              <w:t>qartë</w:t>
            </w:r>
            <w:r>
              <w:rPr>
                <w:rFonts w:ascii="Arial" w:hAnsi="Arial" w:cs="Arial"/>
                <w:color w:val="000000"/>
                <w:sz w:val="20"/>
              </w:rPr>
              <w:t xml:space="preserve"> </w:t>
            </w:r>
            <w:r>
              <w:rPr>
                <w:rStyle w:val="126"/>
                <w:rFonts w:ascii="Arial" w:hAnsi="Arial" w:cs="Arial"/>
                <w:color w:val="000000"/>
                <w:sz w:val="20"/>
              </w:rPr>
              <w:t>"</w:t>
            </w:r>
            <w:r>
              <w:rPr>
                <w:rFonts w:ascii="Arial" w:hAnsi="Arial" w:cs="Arial"/>
                <w:color w:val="000000"/>
                <w:sz w:val="20"/>
              </w:rPr>
              <w:t xml:space="preserve">TËRHEQJE," </w:t>
            </w:r>
            <w:r>
              <w:rPr>
                <w:rStyle w:val="126"/>
                <w:rFonts w:ascii="Arial" w:hAnsi="Arial" w:cs="Arial"/>
                <w:color w:val="000000"/>
                <w:sz w:val="20"/>
              </w:rPr>
              <w:t>"</w:t>
            </w:r>
            <w:r>
              <w:rPr>
                <w:rFonts w:ascii="Arial" w:hAnsi="Arial" w:cs="Arial"/>
                <w:color w:val="000000"/>
                <w:sz w:val="20"/>
              </w:rPr>
              <w:t xml:space="preserve">ZËVENDËSIMI," </w:t>
            </w:r>
            <w:r>
              <w:rPr>
                <w:rStyle w:val="126"/>
                <w:rFonts w:ascii="Arial" w:hAnsi="Arial" w:cs="Arial"/>
                <w:color w:val="000000"/>
                <w:sz w:val="20"/>
              </w:rPr>
              <w:t>ose</w:t>
            </w:r>
            <w:r>
              <w:rPr>
                <w:rFonts w:ascii="Arial" w:hAnsi="Arial" w:cs="Arial"/>
                <w:color w:val="000000"/>
                <w:sz w:val="20"/>
              </w:rPr>
              <w:t xml:space="preserve"> </w:t>
            </w:r>
            <w:r>
              <w:rPr>
                <w:rStyle w:val="126"/>
                <w:rFonts w:ascii="Arial" w:hAnsi="Arial" w:cs="Arial"/>
                <w:color w:val="000000"/>
                <w:sz w:val="20"/>
              </w:rPr>
              <w:t>"</w:t>
            </w:r>
            <w:r>
              <w:rPr>
                <w:rFonts w:ascii="Arial" w:hAnsi="Arial" w:cs="Arial"/>
                <w:color w:val="000000"/>
                <w:sz w:val="20"/>
              </w:rPr>
              <w:t xml:space="preserve">MODIFIKIM"; </w:t>
            </w:r>
            <w:r>
              <w:rPr>
                <w:rStyle w:val="126"/>
                <w:rFonts w:ascii="Arial" w:hAnsi="Arial" w:cs="Arial"/>
                <w:color w:val="000000"/>
                <w:sz w:val="20"/>
              </w:rPr>
              <w:t>dhe</w:t>
            </w:r>
          </w:p>
          <w:p w14:paraId="6183EE0F">
            <w:pPr>
              <w:pStyle w:val="114"/>
              <w:ind w:left="567"/>
              <w:textAlignment w:val="top"/>
              <w:rPr>
                <w:rFonts w:ascii="Arial" w:hAnsi="Arial" w:cs="Arial"/>
                <w:color w:val="000000"/>
                <w:sz w:val="20"/>
              </w:rPr>
            </w:pPr>
            <w:r>
              <w:rPr>
                <w:rFonts w:ascii="Arial" w:hAnsi="Arial" w:cs="Arial"/>
                <w:sz w:val="20"/>
              </w:rPr>
              <w:t xml:space="preserve">b. te </w:t>
            </w:r>
            <w:r>
              <w:rPr>
                <w:rStyle w:val="126"/>
                <w:rFonts w:ascii="Arial" w:hAnsi="Arial" w:cs="Arial"/>
                <w:color w:val="000000"/>
                <w:sz w:val="20"/>
              </w:rPr>
              <w:t>pranohen nga Autoriteti</w:t>
            </w:r>
            <w:r>
              <w:rPr>
                <w:rFonts w:ascii="Arial" w:hAnsi="Arial" w:cs="Arial"/>
                <w:color w:val="000000"/>
                <w:sz w:val="20"/>
              </w:rPr>
              <w:t xml:space="preserve"> K</w:t>
            </w:r>
            <w:r>
              <w:rPr>
                <w:rStyle w:val="126"/>
                <w:rFonts w:ascii="Arial" w:hAnsi="Arial" w:cs="Arial"/>
                <w:color w:val="000000"/>
                <w:sz w:val="20"/>
              </w:rPr>
              <w:t>ontraktues</w:t>
            </w:r>
            <w:r>
              <w:rPr>
                <w:rFonts w:ascii="Arial" w:hAnsi="Arial" w:cs="Arial"/>
                <w:color w:val="000000"/>
                <w:sz w:val="20"/>
              </w:rPr>
              <w:t xml:space="preserve"> </w:t>
            </w:r>
            <w:r>
              <w:rPr>
                <w:rStyle w:val="126"/>
                <w:rFonts w:ascii="Arial" w:hAnsi="Arial" w:cs="Arial"/>
                <w:color w:val="000000"/>
                <w:sz w:val="20"/>
              </w:rPr>
              <w:t>para</w:t>
            </w:r>
            <w:r>
              <w:rPr>
                <w:rFonts w:ascii="Arial" w:hAnsi="Arial" w:cs="Arial"/>
                <w:color w:val="000000"/>
                <w:sz w:val="20"/>
              </w:rPr>
              <w:t xml:space="preserve"> </w:t>
            </w:r>
            <w:r>
              <w:rPr>
                <w:rStyle w:val="126"/>
                <w:rFonts w:ascii="Arial" w:hAnsi="Arial" w:cs="Arial"/>
                <w:color w:val="000000"/>
                <w:sz w:val="20"/>
              </w:rPr>
              <w:t>afatit të fundit</w:t>
            </w:r>
            <w:r>
              <w:rPr>
                <w:rFonts w:ascii="Arial" w:hAnsi="Arial" w:cs="Arial"/>
                <w:color w:val="000000"/>
                <w:sz w:val="20"/>
              </w:rPr>
              <w:t xml:space="preserve"> </w:t>
            </w:r>
            <w:r>
              <w:rPr>
                <w:rStyle w:val="126"/>
                <w:rFonts w:ascii="Arial" w:hAnsi="Arial" w:cs="Arial"/>
                <w:color w:val="000000"/>
                <w:sz w:val="20"/>
              </w:rPr>
              <w:t>të përcaktuara</w:t>
            </w:r>
            <w:r>
              <w:rPr>
                <w:rFonts w:ascii="Arial" w:hAnsi="Arial" w:cs="Arial"/>
                <w:color w:val="000000"/>
                <w:sz w:val="20"/>
              </w:rPr>
              <w:t xml:space="preserve"> </w:t>
            </w:r>
            <w:r>
              <w:rPr>
                <w:rStyle w:val="126"/>
                <w:rFonts w:ascii="Arial" w:hAnsi="Arial" w:cs="Arial"/>
                <w:color w:val="000000"/>
                <w:sz w:val="20"/>
              </w:rPr>
              <w:t>për dorëzimin</w:t>
            </w:r>
            <w:r>
              <w:rPr>
                <w:rFonts w:ascii="Arial" w:hAnsi="Arial" w:cs="Arial"/>
                <w:color w:val="000000"/>
                <w:sz w:val="20"/>
              </w:rPr>
              <w:t xml:space="preserve"> </w:t>
            </w:r>
            <w:r>
              <w:rPr>
                <w:rStyle w:val="126"/>
                <w:rFonts w:ascii="Arial" w:hAnsi="Arial" w:cs="Arial"/>
                <w:color w:val="000000"/>
                <w:sz w:val="20"/>
              </w:rPr>
              <w:t>e tenderëve</w:t>
            </w:r>
            <w:r>
              <w:rPr>
                <w:rFonts w:ascii="Arial" w:hAnsi="Arial" w:cs="Arial"/>
                <w:color w:val="000000"/>
                <w:sz w:val="20"/>
              </w:rPr>
              <w:t>.</w:t>
            </w:r>
          </w:p>
          <w:p w14:paraId="1D5092D0">
            <w:pPr>
              <w:spacing w:after="0"/>
              <w:textAlignment w:val="top"/>
              <w:rPr>
                <w:rFonts w:ascii="Arial" w:hAnsi="Arial" w:cs="Arial"/>
                <w:color w:val="000000"/>
                <w:sz w:val="20"/>
              </w:rPr>
            </w:pPr>
          </w:p>
          <w:p w14:paraId="371CF57A">
            <w:pPr>
              <w:spacing w:after="0"/>
              <w:textAlignment w:val="top"/>
              <w:rPr>
                <w:rFonts w:ascii="Arial" w:hAnsi="Arial" w:cs="Arial"/>
                <w:color w:val="000000"/>
                <w:sz w:val="20"/>
              </w:rPr>
            </w:pPr>
            <w:r>
              <w:rPr>
                <w:rFonts w:ascii="Arial" w:hAnsi="Arial" w:cs="Arial"/>
                <w:color w:val="000000"/>
                <w:sz w:val="20"/>
              </w:rPr>
              <w:t>25.2 Tenderët e kërkuara për tërheqje duhet të dorëzohen të pa hapura tek Tenderuesit.</w:t>
            </w:r>
          </w:p>
          <w:p w14:paraId="6D0220D6">
            <w:pPr>
              <w:spacing w:after="0"/>
              <w:textAlignment w:val="top"/>
              <w:rPr>
                <w:rFonts w:ascii="Arial" w:hAnsi="Arial" w:cs="Arial"/>
                <w:color w:val="000000"/>
                <w:sz w:val="20"/>
              </w:rPr>
            </w:pPr>
          </w:p>
          <w:p w14:paraId="05B29194">
            <w:pPr>
              <w:spacing w:after="0"/>
              <w:textAlignment w:val="top"/>
              <w:rPr>
                <w:rFonts w:ascii="Arial" w:hAnsi="Arial" w:cs="Arial"/>
                <w:color w:val="000000"/>
                <w:sz w:val="20"/>
              </w:rPr>
            </w:pPr>
            <w:r>
              <w:rPr>
                <w:rFonts w:ascii="Arial" w:hAnsi="Arial" w:cs="Arial"/>
                <w:color w:val="000000"/>
                <w:sz w:val="20"/>
              </w:rPr>
              <w:t>25.3 Asnjë tender nuk mund të tërhiqet gjatë intervalit kohor prej të afatit të fundit të dorëzimit të tenderit deri tek skadimi i periudhës së vlefshmërisë së tenderit. Tërheqja e tenderit gjatë këtij afati do të rezulton me konfiskimin e sigurimit të tenderit.</w:t>
            </w:r>
          </w:p>
          <w:p w14:paraId="2E879A88">
            <w:pPr>
              <w:spacing w:after="0"/>
              <w:textAlignment w:val="top"/>
              <w:rPr>
                <w:rFonts w:ascii="Arial" w:hAnsi="Arial" w:cs="Arial"/>
                <w:color w:val="000000"/>
                <w:sz w:val="20"/>
              </w:rPr>
            </w:pPr>
          </w:p>
        </w:tc>
      </w:tr>
      <w:tr w14:paraId="00B8DB53">
        <w:tblPrEx>
          <w:tblCellMar>
            <w:top w:w="0" w:type="dxa"/>
            <w:left w:w="108" w:type="dxa"/>
            <w:bottom w:w="0" w:type="dxa"/>
            <w:right w:w="108" w:type="dxa"/>
          </w:tblCellMar>
        </w:tblPrEx>
        <w:trPr>
          <w:jc w:val="center"/>
        </w:trPr>
        <w:tc>
          <w:tcPr>
            <w:tcW w:w="2120" w:type="dxa"/>
            <w:tcBorders>
              <w:bottom w:val="nil"/>
            </w:tcBorders>
          </w:tcPr>
          <w:p w14:paraId="6DA4D79F">
            <w:pPr>
              <w:pStyle w:val="112"/>
              <w:spacing w:before="0" w:after="200"/>
              <w:ind w:left="0" w:firstLine="0"/>
              <w:rPr>
                <w:rFonts w:ascii="Arial" w:hAnsi="Arial" w:cs="Arial"/>
                <w:sz w:val="20"/>
                <w:lang w:val="sq-AL"/>
              </w:rPr>
            </w:pPr>
            <w:bookmarkStart w:id="97" w:name="_Toc438532623"/>
            <w:bookmarkStart w:id="98" w:name="_Toc61936865"/>
            <w:bookmarkStart w:id="99" w:name="_Toc438907230"/>
            <w:bookmarkStart w:id="100" w:name="_Toc438438849"/>
            <w:bookmarkStart w:id="101" w:name="_Toc438907031"/>
            <w:bookmarkStart w:id="102" w:name="_Toc438733993"/>
            <w:r>
              <w:rPr>
                <w:rFonts w:ascii="Arial" w:hAnsi="Arial" w:cs="Arial"/>
                <w:sz w:val="20"/>
                <w:lang w:val="sq-AL"/>
              </w:rPr>
              <w:t xml:space="preserve">26. Hapja e </w:t>
            </w:r>
            <w:bookmarkEnd w:id="97"/>
            <w:bookmarkEnd w:id="98"/>
            <w:bookmarkEnd w:id="99"/>
            <w:bookmarkEnd w:id="100"/>
            <w:bookmarkEnd w:id="101"/>
            <w:bookmarkEnd w:id="102"/>
            <w:r>
              <w:rPr>
                <w:rFonts w:ascii="Arial" w:hAnsi="Arial" w:cs="Arial"/>
                <w:sz w:val="20"/>
                <w:lang w:val="sq-AL"/>
              </w:rPr>
              <w:t>Tenderëve</w:t>
            </w:r>
          </w:p>
        </w:tc>
        <w:tc>
          <w:tcPr>
            <w:tcW w:w="6405" w:type="dxa"/>
          </w:tcPr>
          <w:p w14:paraId="67F0D410">
            <w:pPr>
              <w:spacing w:after="0"/>
              <w:textAlignment w:val="top"/>
              <w:rPr>
                <w:rFonts w:ascii="Arial" w:hAnsi="Arial" w:cs="Arial"/>
                <w:b/>
                <w:color w:val="000000"/>
                <w:sz w:val="20"/>
              </w:rPr>
            </w:pPr>
            <w:r>
              <w:rPr>
                <w:rFonts w:ascii="Arial" w:hAnsi="Arial" w:cs="Arial"/>
                <w:color w:val="000000"/>
                <w:sz w:val="20"/>
              </w:rPr>
              <w:t xml:space="preserve">26.1 Autoriteti Kontraktues do të bëjë hapjen e tenderit në publik në adresën, datën dhe kohën </w:t>
            </w:r>
            <w:r>
              <w:rPr>
                <w:rFonts w:ascii="Arial" w:hAnsi="Arial" w:cs="Arial"/>
                <w:b/>
                <w:color w:val="000000"/>
                <w:sz w:val="20"/>
              </w:rPr>
              <w:t>e cekur në FDT.</w:t>
            </w:r>
          </w:p>
          <w:p w14:paraId="1D0459D5">
            <w:pPr>
              <w:spacing w:after="0"/>
              <w:ind w:left="2550" w:hanging="2550"/>
              <w:textAlignment w:val="top"/>
              <w:rPr>
                <w:rFonts w:ascii="Arial" w:hAnsi="Arial" w:cs="Arial"/>
                <w:b/>
                <w:color w:val="000000"/>
                <w:sz w:val="20"/>
              </w:rPr>
            </w:pPr>
            <w:r>
              <w:rPr>
                <w:rFonts w:ascii="Arial" w:hAnsi="Arial" w:cs="Arial"/>
                <w:b/>
                <w:color w:val="000000"/>
                <w:sz w:val="20"/>
              </w:rPr>
              <w:tab/>
            </w:r>
          </w:p>
          <w:p w14:paraId="4AF7090F">
            <w:pPr>
              <w:spacing w:after="0"/>
              <w:textAlignment w:val="top"/>
              <w:rPr>
                <w:rFonts w:ascii="Arial" w:hAnsi="Arial" w:cs="Arial"/>
                <w:color w:val="000000"/>
                <w:sz w:val="20"/>
              </w:rPr>
            </w:pPr>
            <w:r>
              <w:rPr>
                <w:rFonts w:ascii="Arial" w:hAnsi="Arial" w:cs="Arial"/>
                <w:color w:val="000000"/>
                <w:sz w:val="20"/>
              </w:rPr>
              <w:t>26.2 Çdo tenderues ka të drejtë të ketë përfaqësuesin prezent që të vrojtoj hapjen e tenderëve.</w:t>
            </w:r>
          </w:p>
          <w:p w14:paraId="022365A3">
            <w:pPr>
              <w:spacing w:after="0"/>
              <w:ind w:left="2550"/>
              <w:textAlignment w:val="top"/>
              <w:rPr>
                <w:rFonts w:ascii="Arial" w:hAnsi="Arial" w:cs="Arial"/>
                <w:color w:val="000000"/>
                <w:sz w:val="20"/>
              </w:rPr>
            </w:pPr>
          </w:p>
          <w:p w14:paraId="22FEC1E2">
            <w:pPr>
              <w:spacing w:after="0"/>
              <w:textAlignment w:val="top"/>
              <w:rPr>
                <w:rFonts w:ascii="Arial" w:hAnsi="Arial" w:cs="Arial"/>
                <w:color w:val="000000"/>
                <w:sz w:val="20"/>
              </w:rPr>
            </w:pPr>
            <w:r>
              <w:rPr>
                <w:rFonts w:ascii="Arial" w:hAnsi="Arial" w:cs="Arial"/>
                <w:color w:val="000000"/>
                <w:sz w:val="20"/>
              </w:rPr>
              <w:t xml:space="preserve">26.3 Nëse Tërheqjet, Zëvendësimet dhe Modifikimet janë të lejuara, së pari zarfet të shënuara “TËRHEQJE” duhet të hapen dhe lexohen me zë dhe zarfi tjetër me tender përkatës nuk duhet hapur, por t’i kthehet Tenderuesit. Nëse zarfi i tërheqjes nuk përmban kopje me “ autorizim të avokatit” qe konfirmon nënshkrimin e personit te autorizuar për </w:t>
            </w:r>
            <w:r>
              <w:rPr>
                <w:rStyle w:val="126"/>
                <w:rFonts w:ascii="Arial" w:hAnsi="Arial" w:cs="Arial"/>
                <w:color w:val="000000"/>
                <w:sz w:val="20"/>
              </w:rPr>
              <w:t>të nënshkruar</w:t>
            </w:r>
            <w:r>
              <w:rPr>
                <w:rFonts w:ascii="Arial" w:hAnsi="Arial" w:cs="Arial"/>
                <w:color w:val="000000"/>
                <w:sz w:val="20"/>
              </w:rPr>
              <w:t xml:space="preserve"> </w:t>
            </w:r>
            <w:r>
              <w:rPr>
                <w:rStyle w:val="126"/>
                <w:rFonts w:ascii="Arial" w:hAnsi="Arial" w:cs="Arial"/>
                <w:color w:val="000000"/>
                <w:sz w:val="20"/>
              </w:rPr>
              <w:t>në emër</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tenderuesit</w:t>
            </w:r>
            <w:r>
              <w:rPr>
                <w:rFonts w:ascii="Arial" w:hAnsi="Arial" w:cs="Arial"/>
                <w:color w:val="000000"/>
                <w:sz w:val="20"/>
              </w:rPr>
              <w:t xml:space="preserve">, atëherë </w:t>
            </w:r>
            <w:r>
              <w:rPr>
                <w:rStyle w:val="126"/>
                <w:rFonts w:ascii="Arial" w:hAnsi="Arial" w:cs="Arial"/>
                <w:color w:val="000000"/>
                <w:sz w:val="20"/>
              </w:rPr>
              <w:t>tenderi</w:t>
            </w:r>
            <w:r>
              <w:rPr>
                <w:rFonts w:ascii="Arial" w:hAnsi="Arial" w:cs="Arial"/>
                <w:color w:val="000000"/>
                <w:sz w:val="20"/>
              </w:rPr>
              <w:t xml:space="preserve"> </w:t>
            </w:r>
            <w:r>
              <w:rPr>
                <w:rStyle w:val="126"/>
                <w:rFonts w:ascii="Arial" w:hAnsi="Arial" w:cs="Arial"/>
                <w:color w:val="000000"/>
                <w:sz w:val="20"/>
              </w:rPr>
              <w:t>përkatës</w:t>
            </w:r>
            <w:r>
              <w:rPr>
                <w:rFonts w:ascii="Arial" w:hAnsi="Arial" w:cs="Arial"/>
                <w:color w:val="000000"/>
                <w:sz w:val="20"/>
              </w:rPr>
              <w:t xml:space="preserve"> </w:t>
            </w:r>
            <w:r>
              <w:rPr>
                <w:rStyle w:val="126"/>
                <w:rFonts w:ascii="Arial" w:hAnsi="Arial" w:cs="Arial"/>
                <w:color w:val="000000"/>
                <w:sz w:val="20"/>
              </w:rPr>
              <w:t>do</w:t>
            </w:r>
            <w:r>
              <w:rPr>
                <w:rFonts w:ascii="Arial" w:hAnsi="Arial" w:cs="Arial"/>
                <w:color w:val="000000"/>
                <w:sz w:val="20"/>
              </w:rPr>
              <w:t xml:space="preserve"> </w:t>
            </w:r>
            <w:r>
              <w:rPr>
                <w:rStyle w:val="126"/>
                <w:rFonts w:ascii="Arial" w:hAnsi="Arial" w:cs="Arial"/>
                <w:color w:val="000000"/>
                <w:sz w:val="20"/>
              </w:rPr>
              <w:t>të hapet</w:t>
            </w:r>
            <w:r>
              <w:rPr>
                <w:rFonts w:ascii="Arial" w:hAnsi="Arial" w:cs="Arial"/>
                <w:color w:val="000000"/>
                <w:sz w:val="20"/>
              </w:rPr>
              <w:t xml:space="preserve">. Mandej, </w:t>
            </w:r>
            <w:r>
              <w:rPr>
                <w:rStyle w:val="126"/>
                <w:rFonts w:ascii="Arial" w:hAnsi="Arial" w:cs="Arial"/>
                <w:color w:val="000000"/>
                <w:sz w:val="20"/>
              </w:rPr>
              <w:t>zarfet</w:t>
            </w:r>
            <w:r>
              <w:rPr>
                <w:rFonts w:ascii="Arial" w:hAnsi="Arial" w:cs="Arial"/>
                <w:color w:val="000000"/>
                <w:sz w:val="20"/>
              </w:rPr>
              <w:t xml:space="preserve"> </w:t>
            </w:r>
            <w:r>
              <w:rPr>
                <w:rStyle w:val="126"/>
                <w:rFonts w:ascii="Arial" w:hAnsi="Arial" w:cs="Arial"/>
                <w:color w:val="000000"/>
                <w:sz w:val="20"/>
              </w:rPr>
              <w:t>e shënuara</w:t>
            </w:r>
            <w:r>
              <w:rPr>
                <w:rFonts w:ascii="Arial" w:hAnsi="Arial" w:cs="Arial"/>
                <w:color w:val="000000"/>
                <w:sz w:val="20"/>
              </w:rPr>
              <w:t xml:space="preserve"> </w:t>
            </w:r>
            <w:r>
              <w:rPr>
                <w:rStyle w:val="126"/>
                <w:rFonts w:ascii="Arial" w:hAnsi="Arial" w:cs="Arial"/>
                <w:color w:val="000000"/>
                <w:sz w:val="20"/>
              </w:rPr>
              <w:t>"</w:t>
            </w:r>
            <w:r>
              <w:rPr>
                <w:rFonts w:ascii="Arial" w:hAnsi="Arial" w:cs="Arial"/>
                <w:color w:val="000000"/>
                <w:sz w:val="20"/>
              </w:rPr>
              <w:t xml:space="preserve">ZËVENDËSIMI" </w:t>
            </w:r>
            <w:r>
              <w:rPr>
                <w:rStyle w:val="126"/>
                <w:rFonts w:ascii="Arial" w:hAnsi="Arial" w:cs="Arial"/>
                <w:color w:val="000000"/>
                <w:sz w:val="20"/>
              </w:rPr>
              <w:t>do të</w:t>
            </w:r>
            <w:r>
              <w:rPr>
                <w:rFonts w:ascii="Arial" w:hAnsi="Arial" w:cs="Arial"/>
                <w:color w:val="000000"/>
                <w:sz w:val="20"/>
              </w:rPr>
              <w:t xml:space="preserve"> </w:t>
            </w:r>
            <w:r>
              <w:rPr>
                <w:rStyle w:val="126"/>
                <w:rFonts w:ascii="Arial" w:hAnsi="Arial" w:cs="Arial"/>
                <w:color w:val="000000"/>
                <w:sz w:val="20"/>
              </w:rPr>
              <w:t>hapen dhe</w:t>
            </w:r>
            <w:r>
              <w:rPr>
                <w:rFonts w:ascii="Arial" w:hAnsi="Arial" w:cs="Arial"/>
                <w:color w:val="000000"/>
                <w:sz w:val="20"/>
              </w:rPr>
              <w:t xml:space="preserve"> </w:t>
            </w:r>
            <w:r>
              <w:rPr>
                <w:rStyle w:val="126"/>
                <w:rFonts w:ascii="Arial" w:hAnsi="Arial" w:cs="Arial"/>
                <w:color w:val="000000"/>
                <w:sz w:val="20"/>
              </w:rPr>
              <w:t>lexohen me zë</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shkëmbehen</w:t>
            </w:r>
            <w:r>
              <w:rPr>
                <w:rFonts w:ascii="Arial" w:hAnsi="Arial" w:cs="Arial"/>
                <w:color w:val="000000"/>
                <w:sz w:val="20"/>
              </w:rPr>
              <w:t xml:space="preserve"> </w:t>
            </w:r>
            <w:r>
              <w:rPr>
                <w:rStyle w:val="126"/>
                <w:rFonts w:ascii="Arial" w:hAnsi="Arial" w:cs="Arial"/>
                <w:color w:val="000000"/>
                <w:sz w:val="20"/>
              </w:rPr>
              <w:t>me</w:t>
            </w:r>
            <w:r>
              <w:rPr>
                <w:rFonts w:ascii="Arial" w:hAnsi="Arial" w:cs="Arial"/>
                <w:color w:val="000000"/>
                <w:sz w:val="20"/>
              </w:rPr>
              <w:t xml:space="preserve"> </w:t>
            </w:r>
            <w:r>
              <w:rPr>
                <w:rStyle w:val="126"/>
                <w:rFonts w:ascii="Arial" w:hAnsi="Arial" w:cs="Arial"/>
                <w:color w:val="000000"/>
                <w:sz w:val="20"/>
              </w:rPr>
              <w:t xml:space="preserve">tenderin </w:t>
            </w:r>
            <w:r>
              <w:rPr>
                <w:rFonts w:ascii="Arial" w:hAnsi="Arial" w:cs="Arial"/>
                <w:color w:val="000000"/>
                <w:sz w:val="20"/>
              </w:rPr>
              <w:t xml:space="preserve"> </w:t>
            </w:r>
            <w:r>
              <w:rPr>
                <w:rStyle w:val="126"/>
                <w:rFonts w:ascii="Arial" w:hAnsi="Arial" w:cs="Arial"/>
                <w:color w:val="000000"/>
                <w:sz w:val="20"/>
              </w:rPr>
              <w:t>përkatës</w:t>
            </w:r>
            <w:r>
              <w:rPr>
                <w:rFonts w:ascii="Arial" w:hAnsi="Arial" w:cs="Arial"/>
                <w:color w:val="000000"/>
                <w:sz w:val="20"/>
              </w:rPr>
              <w:t xml:space="preserve"> </w:t>
            </w:r>
            <w:r>
              <w:rPr>
                <w:rStyle w:val="126"/>
                <w:rFonts w:ascii="Arial" w:hAnsi="Arial" w:cs="Arial"/>
                <w:color w:val="000000"/>
                <w:sz w:val="20"/>
              </w:rPr>
              <w:t>duke u</w:t>
            </w:r>
            <w:r>
              <w:rPr>
                <w:rFonts w:ascii="Arial" w:hAnsi="Arial" w:cs="Arial"/>
                <w:color w:val="000000"/>
                <w:sz w:val="20"/>
              </w:rPr>
              <w:t xml:space="preserve"> </w:t>
            </w:r>
            <w:r>
              <w:rPr>
                <w:rStyle w:val="126"/>
                <w:rFonts w:ascii="Arial" w:hAnsi="Arial" w:cs="Arial"/>
                <w:color w:val="000000"/>
                <w:sz w:val="20"/>
              </w:rPr>
              <w:t>zëvendësuar</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tenderi i</w:t>
            </w:r>
            <w:r>
              <w:rPr>
                <w:rFonts w:ascii="Arial" w:hAnsi="Arial" w:cs="Arial"/>
                <w:color w:val="000000"/>
                <w:sz w:val="20"/>
              </w:rPr>
              <w:t xml:space="preserve"> </w:t>
            </w:r>
            <w:r>
              <w:rPr>
                <w:rStyle w:val="126"/>
                <w:rFonts w:ascii="Arial" w:hAnsi="Arial" w:cs="Arial"/>
                <w:color w:val="000000"/>
                <w:sz w:val="20"/>
              </w:rPr>
              <w:t>zëvendësuar nuk do të hapet</w:t>
            </w:r>
            <w:r>
              <w:rPr>
                <w:rFonts w:ascii="Arial" w:hAnsi="Arial" w:cs="Arial"/>
                <w:color w:val="000000"/>
                <w:sz w:val="20"/>
              </w:rPr>
              <w:t xml:space="preserve">, </w:t>
            </w:r>
            <w:r>
              <w:rPr>
                <w:rStyle w:val="126"/>
                <w:rFonts w:ascii="Arial" w:hAnsi="Arial" w:cs="Arial"/>
                <w:color w:val="000000"/>
                <w:sz w:val="20"/>
              </w:rPr>
              <w:t>por kthehet tek</w:t>
            </w:r>
            <w:r>
              <w:rPr>
                <w:rFonts w:ascii="Arial" w:hAnsi="Arial" w:cs="Arial"/>
                <w:color w:val="000000"/>
                <w:sz w:val="20"/>
              </w:rPr>
              <w:t xml:space="preserve"> </w:t>
            </w:r>
            <w:r>
              <w:rPr>
                <w:rStyle w:val="126"/>
                <w:rFonts w:ascii="Arial" w:hAnsi="Arial" w:cs="Arial"/>
                <w:color w:val="000000"/>
                <w:sz w:val="20"/>
              </w:rPr>
              <w:t>Tenderuesi</w:t>
            </w:r>
            <w:r>
              <w:rPr>
                <w:rFonts w:ascii="Arial" w:hAnsi="Arial" w:cs="Arial"/>
                <w:color w:val="000000"/>
                <w:sz w:val="20"/>
              </w:rPr>
              <w:t xml:space="preserve">. </w:t>
            </w:r>
            <w:r>
              <w:rPr>
                <w:rStyle w:val="126"/>
                <w:rFonts w:ascii="Arial" w:hAnsi="Arial" w:cs="Arial"/>
                <w:color w:val="000000"/>
                <w:sz w:val="20"/>
              </w:rPr>
              <w:t xml:space="preserve">Zarfi i </w:t>
            </w:r>
            <w:r>
              <w:rPr>
                <w:rFonts w:ascii="Arial" w:hAnsi="Arial" w:cs="Arial"/>
                <w:color w:val="000000"/>
                <w:sz w:val="20"/>
              </w:rPr>
              <w:t xml:space="preserve"> </w:t>
            </w:r>
            <w:r>
              <w:rPr>
                <w:rStyle w:val="126"/>
                <w:rFonts w:ascii="Arial" w:hAnsi="Arial" w:cs="Arial"/>
                <w:color w:val="000000"/>
                <w:sz w:val="20"/>
              </w:rPr>
              <w:t>shënuar</w:t>
            </w:r>
            <w:r>
              <w:rPr>
                <w:rFonts w:ascii="Arial" w:hAnsi="Arial" w:cs="Arial"/>
                <w:color w:val="000000"/>
                <w:sz w:val="20"/>
              </w:rPr>
              <w:t xml:space="preserve"> </w:t>
            </w:r>
            <w:r>
              <w:rPr>
                <w:rStyle w:val="126"/>
                <w:rFonts w:ascii="Arial" w:hAnsi="Arial" w:cs="Arial"/>
                <w:color w:val="000000"/>
                <w:sz w:val="20"/>
              </w:rPr>
              <w:t>"</w:t>
            </w:r>
            <w:r>
              <w:rPr>
                <w:rFonts w:ascii="Arial" w:hAnsi="Arial" w:cs="Arial"/>
                <w:color w:val="000000"/>
                <w:sz w:val="20"/>
              </w:rPr>
              <w:t xml:space="preserve">MODIFIKIM" </w:t>
            </w:r>
            <w:r>
              <w:rPr>
                <w:rStyle w:val="126"/>
                <w:rFonts w:ascii="Arial" w:hAnsi="Arial" w:cs="Arial"/>
                <w:color w:val="000000"/>
                <w:sz w:val="20"/>
              </w:rPr>
              <w:t>do të hapen</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lexohen</w:t>
            </w:r>
            <w:r>
              <w:rPr>
                <w:rFonts w:ascii="Arial" w:hAnsi="Arial" w:cs="Arial"/>
                <w:color w:val="000000"/>
                <w:sz w:val="20"/>
              </w:rPr>
              <w:t xml:space="preserve"> </w:t>
            </w:r>
            <w:r>
              <w:rPr>
                <w:rStyle w:val="126"/>
                <w:rFonts w:ascii="Arial" w:hAnsi="Arial" w:cs="Arial"/>
                <w:color w:val="000000"/>
                <w:sz w:val="20"/>
              </w:rPr>
              <w:t>me zë</w:t>
            </w:r>
            <w:r>
              <w:rPr>
                <w:rFonts w:ascii="Arial" w:hAnsi="Arial" w:cs="Arial"/>
                <w:color w:val="000000"/>
                <w:sz w:val="20"/>
              </w:rPr>
              <w:t xml:space="preserve"> m</w:t>
            </w:r>
            <w:r>
              <w:rPr>
                <w:rStyle w:val="126"/>
                <w:rFonts w:ascii="Arial" w:hAnsi="Arial" w:cs="Arial"/>
                <w:color w:val="000000"/>
                <w:sz w:val="20"/>
              </w:rPr>
              <w:t>e tenderin përkatës</w:t>
            </w:r>
            <w:r>
              <w:rPr>
                <w:rFonts w:ascii="Arial" w:hAnsi="Arial" w:cs="Arial"/>
                <w:color w:val="000000"/>
                <w:sz w:val="20"/>
              </w:rPr>
              <w:t xml:space="preserve">.       </w:t>
            </w:r>
          </w:p>
          <w:p w14:paraId="2260C044">
            <w:pPr>
              <w:spacing w:after="0"/>
              <w:textAlignment w:val="top"/>
              <w:rPr>
                <w:rFonts w:ascii="Arial" w:hAnsi="Arial" w:cs="Arial"/>
                <w:color w:val="000000"/>
                <w:sz w:val="20"/>
              </w:rPr>
            </w:pPr>
          </w:p>
          <w:p w14:paraId="74BCADEB">
            <w:pPr>
              <w:spacing w:after="0"/>
              <w:ind w:left="5780" w:firstLine="170"/>
              <w:textAlignment w:val="top"/>
              <w:rPr>
                <w:rFonts w:ascii="Arial" w:hAnsi="Arial" w:cs="Arial"/>
                <w:vanish/>
                <w:color w:val="1111CC"/>
                <w:sz w:val="20"/>
                <w:lang w:eastAsia="en-US"/>
              </w:rPr>
            </w:pPr>
            <w:r>
              <w:rPr>
                <w:rFonts w:ascii="Arial" w:hAnsi="Arial" w:cs="Arial"/>
                <w:vanish/>
                <w:color w:val="1111CC"/>
                <w:sz w:val="20"/>
                <w:lang w:eastAsia="en-US"/>
              </w:rPr>
              <w:t>Listen</w:t>
            </w:r>
          </w:p>
          <w:p w14:paraId="0568F993">
            <w:pPr>
              <w:spacing w:after="0"/>
              <w:textAlignment w:val="top"/>
              <w:rPr>
                <w:rFonts w:ascii="Arial" w:hAnsi="Arial" w:cs="Arial"/>
                <w:vanish/>
                <w:color w:val="1111CC"/>
                <w:sz w:val="20"/>
                <w:lang w:eastAsia="en-US"/>
              </w:rPr>
            </w:pPr>
            <w:r>
              <w:rPr>
                <w:rFonts w:ascii="Arial" w:hAnsi="Arial" w:cs="Arial"/>
                <w:vanish/>
                <w:color w:val="1111CC"/>
                <w:sz w:val="20"/>
                <w:lang w:eastAsia="en-US"/>
              </w:rPr>
              <w:t>Read phonetically</w:t>
            </w:r>
          </w:p>
          <w:p w14:paraId="273B30C7">
            <w:pPr>
              <w:spacing w:after="0" w:line="360" w:lineRule="atLeast"/>
              <w:textAlignment w:val="top"/>
              <w:rPr>
                <w:rFonts w:ascii="Arial" w:hAnsi="Arial" w:cs="Arial"/>
                <w:vanish/>
                <w:color w:val="777777"/>
                <w:sz w:val="20"/>
                <w:lang w:eastAsia="en-US"/>
              </w:rPr>
            </w:pPr>
            <w:r>
              <w:rPr>
                <w:rFonts w:ascii="Arial" w:hAnsi="Arial" w:cs="Arial"/>
                <w:vanish/>
                <w:color w:val="777777"/>
                <w:sz w:val="20"/>
                <w:lang w:eastAsia="en-US"/>
              </w:rPr>
              <w:t> </w:t>
            </w:r>
          </w:p>
          <w:p w14:paraId="24CB1ADC">
            <w:pPr>
              <w:spacing w:after="150" w:line="240" w:lineRule="atLeast"/>
              <w:textAlignment w:val="top"/>
              <w:outlineLvl w:val="3"/>
              <w:rPr>
                <w:rFonts w:ascii="Arial" w:hAnsi="Arial" w:cs="Arial"/>
                <w:vanish/>
                <w:color w:val="888888"/>
                <w:sz w:val="20"/>
                <w:lang w:eastAsia="en-US"/>
              </w:rPr>
            </w:pPr>
            <w:r>
              <w:rPr>
                <w:rFonts w:ascii="Arial" w:hAnsi="Arial" w:cs="Arial"/>
                <w:vanish/>
                <w:color w:val="888888"/>
                <w:sz w:val="20"/>
                <w:lang w:eastAsia="en-US"/>
              </w:rPr>
              <w:t xml:space="preserve">Dictionary - </w:t>
            </w:r>
            <w:r>
              <w:fldChar w:fldCharType="begin"/>
            </w:r>
            <w:r>
              <w:instrText xml:space="preserve"> HYPERLINK "http://www.google.com/dictionary?source=translation&amp;hl=en&amp;q=&amp;langpair=" </w:instrText>
            </w:r>
            <w:r>
              <w:fldChar w:fldCharType="separate"/>
            </w:r>
            <w:r>
              <w:rPr>
                <w:rFonts w:ascii="Arial" w:hAnsi="Arial" w:cs="Arial"/>
                <w:vanish/>
                <w:color w:val="4272DB"/>
                <w:sz w:val="20"/>
                <w:lang w:eastAsia="en-US"/>
              </w:rPr>
              <w:t>View detailed dictionary</w:t>
            </w:r>
            <w:r>
              <w:rPr>
                <w:rFonts w:ascii="Arial" w:hAnsi="Arial" w:cs="Arial"/>
                <w:vanish/>
                <w:color w:val="4272DB"/>
                <w:sz w:val="20"/>
                <w:lang w:eastAsia="en-US"/>
              </w:rPr>
              <w:fldChar w:fldCharType="end"/>
            </w:r>
          </w:p>
          <w:p w14:paraId="1ED23839">
            <w:pPr>
              <w:numPr>
                <w:ilvl w:val="0"/>
                <w:numId w:val="17"/>
              </w:numPr>
              <w:spacing w:before="100" w:beforeAutospacing="1" w:after="100" w:afterAutospacing="1"/>
              <w:textAlignment w:val="top"/>
              <w:rPr>
                <w:rFonts w:ascii="Arial" w:hAnsi="Arial" w:cs="Arial"/>
                <w:b/>
                <w:bCs/>
                <w:vanish/>
                <w:color w:val="000000"/>
                <w:sz w:val="20"/>
                <w:lang w:eastAsia="en-US"/>
              </w:rPr>
            </w:pPr>
            <w:r>
              <w:rPr>
                <w:rFonts w:ascii="Arial" w:hAnsi="Arial" w:cs="Arial"/>
                <w:b/>
                <w:bCs/>
                <w:vanish/>
                <w:color w:val="000000"/>
                <w:sz w:val="20"/>
                <w:lang w:eastAsia="en-US"/>
              </w:rPr>
              <w:t xml:space="preserve">noun </w:t>
            </w:r>
          </w:p>
          <w:p w14:paraId="01C3B56F">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vulë</w:t>
            </w:r>
          </w:p>
          <w:p w14:paraId="4C1404D1">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plumb</w:t>
            </w:r>
          </w:p>
          <w:p w14:paraId="3709A730">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shenjë</w:t>
            </w:r>
          </w:p>
          <w:p w14:paraId="085F9E14">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fokë</w:t>
            </w:r>
          </w:p>
          <w:p w14:paraId="57401D3C">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provë</w:t>
            </w:r>
          </w:p>
          <w:p w14:paraId="51AE7AEF">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premtim</w:t>
            </w:r>
          </w:p>
          <w:p w14:paraId="2DAF117F">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detyrë</w:t>
            </w:r>
          </w:p>
          <w:p w14:paraId="303EF37A">
            <w:pPr>
              <w:numPr>
                <w:ilvl w:val="0"/>
                <w:numId w:val="17"/>
              </w:numPr>
              <w:spacing w:before="100" w:beforeAutospacing="1" w:after="100" w:afterAutospacing="1"/>
              <w:textAlignment w:val="top"/>
              <w:rPr>
                <w:rFonts w:ascii="Arial" w:hAnsi="Arial" w:cs="Arial"/>
                <w:b/>
                <w:bCs/>
                <w:vanish/>
                <w:color w:val="000000"/>
                <w:sz w:val="20"/>
                <w:lang w:eastAsia="en-US"/>
              </w:rPr>
            </w:pPr>
            <w:r>
              <w:rPr>
                <w:rFonts w:ascii="Arial" w:hAnsi="Arial" w:cs="Arial"/>
                <w:b/>
                <w:bCs/>
                <w:vanish/>
                <w:color w:val="000000"/>
                <w:sz w:val="20"/>
                <w:lang w:eastAsia="en-US"/>
              </w:rPr>
              <w:t xml:space="preserve">verb </w:t>
            </w:r>
          </w:p>
          <w:p w14:paraId="7A0F6DF4">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mbyll</w:t>
            </w:r>
          </w:p>
          <w:p w14:paraId="3CFA134A">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vulos</w:t>
            </w:r>
          </w:p>
          <w:p w14:paraId="60C2DC37">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gjuaj për fokë</w:t>
            </w:r>
          </w:p>
          <w:p w14:paraId="2E871E1F">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ngjit</w:t>
            </w:r>
          </w:p>
          <w:p w14:paraId="109B5392">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ngjis</w:t>
            </w:r>
          </w:p>
          <w:p w14:paraId="31E1C661">
            <w:pPr>
              <w:numPr>
                <w:ilvl w:val="1"/>
                <w:numId w:val="17"/>
              </w:numPr>
              <w:spacing w:before="100" w:beforeAutospacing="1" w:after="100" w:afterAutospacing="1"/>
              <w:textAlignment w:val="top"/>
              <w:rPr>
                <w:rFonts w:ascii="Arial" w:hAnsi="Arial" w:cs="Arial"/>
                <w:vanish/>
                <w:color w:val="000000"/>
                <w:sz w:val="20"/>
                <w:lang w:eastAsia="en-US"/>
              </w:rPr>
            </w:pPr>
            <w:r>
              <w:rPr>
                <w:rFonts w:ascii="Arial" w:hAnsi="Arial" w:cs="Arial"/>
                <w:vanish/>
                <w:color w:val="000000"/>
                <w:sz w:val="20"/>
                <w:lang w:eastAsia="en-US"/>
              </w:rPr>
              <w:t>plumboj</w:t>
            </w:r>
          </w:p>
          <w:p w14:paraId="3D8455E0">
            <w:pPr>
              <w:spacing w:line="240" w:lineRule="atLeast"/>
              <w:textAlignment w:val="top"/>
              <w:outlineLvl w:val="3"/>
              <w:rPr>
                <w:rFonts w:ascii="Arial" w:hAnsi="Arial" w:cs="Arial"/>
                <w:b/>
                <w:bCs/>
                <w:vanish/>
                <w:color w:val="000000"/>
                <w:sz w:val="20"/>
                <w:lang w:eastAsia="en-US"/>
              </w:rPr>
            </w:pPr>
            <w:r>
              <w:rPr>
                <w:rFonts w:ascii="Arial" w:hAnsi="Arial" w:cs="Arial"/>
                <w:b/>
                <w:bCs/>
                <w:vanish/>
                <w:color w:val="000000"/>
                <w:sz w:val="20"/>
                <w:lang w:eastAsia="en-US"/>
              </w:rPr>
              <w:t>Translate any website</w:t>
            </w:r>
          </w:p>
          <w:p w14:paraId="18DF35AA">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"http://translate.google.com/?hl=en&amp;sl=es&amp;tl=en&amp;sugg=w&amp;hints=true&amp;q=http://www.elconfidencial.com/" </w:instrText>
            </w:r>
            <w:r>
              <w:fldChar w:fldCharType="separate"/>
            </w:r>
            <w:r>
              <w:rPr>
                <w:rFonts w:ascii="Arial" w:hAnsi="Arial" w:cs="Arial"/>
                <w:vanish/>
                <w:color w:val="4272DB"/>
                <w:sz w:val="20"/>
                <w:lang w:eastAsia="en-US"/>
              </w:rPr>
              <w:t>El Confidencial</w:t>
            </w:r>
            <w:r>
              <w:rPr>
                <w:rFonts w:ascii="Arial" w:hAnsi="Arial" w:cs="Arial"/>
                <w:vanish/>
                <w:color w:val="4272DB"/>
                <w:sz w:val="20"/>
                <w:lang w:eastAsia="en-US"/>
              </w:rPr>
              <w:fldChar w:fldCharType="end"/>
            </w:r>
            <w:r>
              <w:rPr>
                <w:rFonts w:ascii="Arial" w:hAnsi="Arial" w:cs="Arial"/>
                <w:vanish/>
                <w:color w:val="888888"/>
                <w:sz w:val="20"/>
                <w:lang w:eastAsia="en-US"/>
              </w:rPr>
              <w:t>-Spain</w:t>
            </w:r>
          </w:p>
          <w:p w14:paraId="461A7294">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"http://translate.google.com/?hl=en&amp;sl=de&amp;tl=en&amp;sugg=w&amp;hints=true&amp;q=http://www.news.de/" </w:instrText>
            </w:r>
            <w:r>
              <w:fldChar w:fldCharType="separate"/>
            </w:r>
            <w:r>
              <w:rPr>
                <w:rFonts w:ascii="Arial" w:hAnsi="Arial" w:cs="Arial"/>
                <w:vanish/>
                <w:color w:val="4272DB"/>
                <w:sz w:val="20"/>
                <w:lang w:eastAsia="en-US"/>
              </w:rPr>
              <w:t>News.de</w:t>
            </w:r>
            <w:r>
              <w:rPr>
                <w:rFonts w:ascii="Arial" w:hAnsi="Arial" w:cs="Arial"/>
                <w:vanish/>
                <w:color w:val="4272DB"/>
                <w:sz w:val="20"/>
                <w:lang w:eastAsia="en-US"/>
              </w:rPr>
              <w:fldChar w:fldCharType="end"/>
            </w:r>
            <w:r>
              <w:rPr>
                <w:rFonts w:ascii="Arial" w:hAnsi="Arial" w:cs="Arial"/>
                <w:vanish/>
                <w:color w:val="888888"/>
                <w:sz w:val="20"/>
                <w:lang w:eastAsia="en-US"/>
              </w:rPr>
              <w:t>-Germany</w:t>
            </w:r>
          </w:p>
          <w:p w14:paraId="7FAA7DF7">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"http://translate.google.com/?hl=en&amp;sl=fr&amp;tl=en&amp;sugg=w&amp;hints=true&amp;q=http://www.elle.fr/elle/" </w:instrText>
            </w:r>
            <w:r>
              <w:fldChar w:fldCharType="separate"/>
            </w:r>
            <w:r>
              <w:rPr>
                <w:rFonts w:ascii="Arial" w:hAnsi="Arial" w:cs="Arial"/>
                <w:vanish/>
                <w:color w:val="4272DB"/>
                <w:sz w:val="20"/>
                <w:lang w:eastAsia="en-US"/>
              </w:rPr>
              <w:t>Elle</w:t>
            </w:r>
            <w:r>
              <w:rPr>
                <w:rFonts w:ascii="Arial" w:hAnsi="Arial" w:cs="Arial"/>
                <w:vanish/>
                <w:color w:val="4272DB"/>
                <w:sz w:val="20"/>
                <w:lang w:eastAsia="en-US"/>
              </w:rPr>
              <w:fldChar w:fldCharType="end"/>
            </w:r>
            <w:r>
              <w:rPr>
                <w:rFonts w:ascii="Arial" w:hAnsi="Arial" w:cs="Arial"/>
                <w:vanish/>
                <w:color w:val="888888"/>
                <w:sz w:val="20"/>
                <w:lang w:eastAsia="en-US"/>
              </w:rPr>
              <w:t>-France</w:t>
            </w:r>
          </w:p>
          <w:p w14:paraId="4AAF63A4">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"http://translate.google.com/?hl=en&amp;sl=ja&amp;tl=en&amp;sugg=w&amp;hints=true&amp;q=http://bonsai.ne.jp/" </w:instrText>
            </w:r>
            <w:r>
              <w:fldChar w:fldCharType="separate"/>
            </w:r>
            <w:r>
              <w:rPr>
                <w:rFonts w:ascii="Arial" w:hAnsi="Arial" w:eastAsia="MS Mincho" w:cs="Arial"/>
                <w:vanish/>
                <w:color w:val="4272DB"/>
                <w:sz w:val="20"/>
                <w:lang w:eastAsia="en-US"/>
              </w:rPr>
              <w:t>盆栽</w:t>
            </w:r>
            <w:r>
              <w:rPr>
                <w:rFonts w:ascii="Arial" w:hAnsi="Arial" w:eastAsia="MS Mincho" w:cs="Arial"/>
                <w:vanish/>
                <w:color w:val="4272DB"/>
                <w:sz w:val="20"/>
                <w:lang w:eastAsia="en-US"/>
              </w:rPr>
              <w:fldChar w:fldCharType="end"/>
            </w:r>
            <w:r>
              <w:rPr>
                <w:rFonts w:ascii="Arial" w:hAnsi="Arial" w:cs="Arial"/>
                <w:vanish/>
                <w:color w:val="888888"/>
                <w:sz w:val="20"/>
                <w:lang w:eastAsia="en-US"/>
              </w:rPr>
              <w:t>-Japan</w:t>
            </w:r>
          </w:p>
          <w:p w14:paraId="458E6E9B">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"http://translate.google.com/?hl=en&amp;sl=fr&amp;tl=en&amp;sugg=w&amp;hints=true&amp;q=http://www.vogue.fr/" </w:instrText>
            </w:r>
            <w:r>
              <w:fldChar w:fldCharType="separate"/>
            </w:r>
            <w:r>
              <w:rPr>
                <w:rFonts w:ascii="Arial" w:hAnsi="Arial" w:cs="Arial"/>
                <w:vanish/>
                <w:color w:val="4272DB"/>
                <w:sz w:val="20"/>
                <w:lang w:eastAsia="en-US"/>
              </w:rPr>
              <w:t>Vogue</w:t>
            </w:r>
            <w:r>
              <w:rPr>
                <w:rFonts w:ascii="Arial" w:hAnsi="Arial" w:cs="Arial"/>
                <w:vanish/>
                <w:color w:val="4272DB"/>
                <w:sz w:val="20"/>
                <w:lang w:eastAsia="en-US"/>
              </w:rPr>
              <w:fldChar w:fldCharType="end"/>
            </w:r>
            <w:r>
              <w:rPr>
                <w:rFonts w:ascii="Arial" w:hAnsi="Arial" w:cs="Arial"/>
                <w:vanish/>
                <w:color w:val="888888"/>
                <w:sz w:val="20"/>
                <w:lang w:eastAsia="en-US"/>
              </w:rPr>
              <w:t>-France</w:t>
            </w:r>
          </w:p>
          <w:p w14:paraId="04361CF5">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"http://translate.google.com/?hl=en&amp;sl=fr&amp;tl=en&amp;sugg=w&amp;hints=true&amp;q=http://www.marmiton.org/" </w:instrText>
            </w:r>
            <w:r>
              <w:fldChar w:fldCharType="separate"/>
            </w:r>
            <w:r>
              <w:rPr>
                <w:rFonts w:ascii="Arial" w:hAnsi="Arial" w:cs="Arial"/>
                <w:vanish/>
                <w:color w:val="4272DB"/>
                <w:sz w:val="20"/>
                <w:lang w:eastAsia="en-US"/>
              </w:rPr>
              <w:t>Marmiton.org</w:t>
            </w:r>
            <w:r>
              <w:rPr>
                <w:rFonts w:ascii="Arial" w:hAnsi="Arial" w:cs="Arial"/>
                <w:vanish/>
                <w:color w:val="4272DB"/>
                <w:sz w:val="20"/>
                <w:lang w:eastAsia="en-US"/>
              </w:rPr>
              <w:fldChar w:fldCharType="end"/>
            </w:r>
            <w:r>
              <w:rPr>
                <w:rFonts w:ascii="Arial" w:hAnsi="Arial" w:cs="Arial"/>
                <w:vanish/>
                <w:color w:val="888888"/>
                <w:sz w:val="20"/>
                <w:lang w:eastAsia="en-US"/>
              </w:rPr>
              <w:t>-France</w:t>
            </w:r>
          </w:p>
          <w:p w14:paraId="2B01A504">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"http://translate.google.com/?hl=en&amp;sl=fr&amp;tl=en&amp;sugg=w&amp;hints=true&amp;q=http://www.lexpress.fr/" </w:instrText>
            </w:r>
            <w:r>
              <w:fldChar w:fldCharType="separate"/>
            </w:r>
            <w:r>
              <w:rPr>
                <w:rFonts w:ascii="Arial" w:hAnsi="Arial" w:cs="Arial"/>
                <w:vanish/>
                <w:color w:val="4272DB"/>
                <w:sz w:val="20"/>
                <w:lang w:eastAsia="en-US"/>
              </w:rPr>
              <w:t>L'Express</w:t>
            </w:r>
            <w:r>
              <w:rPr>
                <w:rFonts w:ascii="Arial" w:hAnsi="Arial" w:cs="Arial"/>
                <w:vanish/>
                <w:color w:val="4272DB"/>
                <w:sz w:val="20"/>
                <w:lang w:eastAsia="en-US"/>
              </w:rPr>
              <w:fldChar w:fldCharType="end"/>
            </w:r>
            <w:r>
              <w:rPr>
                <w:rFonts w:ascii="Arial" w:hAnsi="Arial" w:cs="Arial"/>
                <w:vanish/>
                <w:color w:val="888888"/>
                <w:sz w:val="20"/>
                <w:lang w:eastAsia="en-US"/>
              </w:rPr>
              <w:t>-France</w:t>
            </w:r>
          </w:p>
          <w:p w14:paraId="79246543">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"http://translate.google.com/?hl=en&amp;sl=de&amp;tl=en&amp;sugg=w&amp;hints=true&amp;q=http://www.zeit.de/" </w:instrText>
            </w:r>
            <w:r>
              <w:fldChar w:fldCharType="separate"/>
            </w:r>
            <w:r>
              <w:rPr>
                <w:rFonts w:ascii="Arial" w:hAnsi="Arial" w:cs="Arial"/>
                <w:vanish/>
                <w:color w:val="4272DB"/>
                <w:sz w:val="20"/>
                <w:lang w:eastAsia="en-US"/>
              </w:rPr>
              <w:t>Zeit Online</w:t>
            </w:r>
            <w:r>
              <w:rPr>
                <w:rFonts w:ascii="Arial" w:hAnsi="Arial" w:cs="Arial"/>
                <w:vanish/>
                <w:color w:val="4272DB"/>
                <w:sz w:val="20"/>
                <w:lang w:eastAsia="en-US"/>
              </w:rPr>
              <w:fldChar w:fldCharType="end"/>
            </w:r>
            <w:r>
              <w:rPr>
                <w:rFonts w:ascii="Arial" w:hAnsi="Arial" w:cs="Arial"/>
                <w:vanish/>
                <w:color w:val="888888"/>
                <w:sz w:val="20"/>
                <w:lang w:eastAsia="en-US"/>
              </w:rPr>
              <w:t>-Germany</w:t>
            </w:r>
          </w:p>
          <w:p w14:paraId="044DC13E">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"http://translate.google.com/?hl=en&amp;sl=es&amp;tl=en&amp;sugg=w&amp;hints=true&amp;q=http://www.artetoreo.com/" </w:instrText>
            </w:r>
            <w:r>
              <w:fldChar w:fldCharType="separate"/>
            </w:r>
            <w:r>
              <w:rPr>
                <w:rFonts w:ascii="Arial" w:hAnsi="Arial" w:cs="Arial"/>
                <w:vanish/>
                <w:color w:val="4272DB"/>
                <w:sz w:val="20"/>
                <w:lang w:eastAsia="en-US"/>
              </w:rPr>
              <w:t>Arte Toreo</w:t>
            </w:r>
            <w:r>
              <w:rPr>
                <w:rFonts w:ascii="Arial" w:hAnsi="Arial" w:cs="Arial"/>
                <w:vanish/>
                <w:color w:val="4272DB"/>
                <w:sz w:val="20"/>
                <w:lang w:eastAsia="en-US"/>
              </w:rPr>
              <w:fldChar w:fldCharType="end"/>
            </w:r>
            <w:r>
              <w:rPr>
                <w:rFonts w:ascii="Arial" w:hAnsi="Arial" w:cs="Arial"/>
                <w:vanish/>
                <w:color w:val="888888"/>
                <w:sz w:val="20"/>
                <w:lang w:eastAsia="en-US"/>
              </w:rPr>
              <w:t>-Spain</w:t>
            </w:r>
          </w:p>
          <w:p w14:paraId="35FB0B6A">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"http://translate.google.com/?hl=en&amp;sl=sv&amp;tl=en&amp;sugg=w&amp;hints=true&amp;q=http://komikamagasin.se/" </w:instrText>
            </w:r>
            <w:r>
              <w:fldChar w:fldCharType="separate"/>
            </w:r>
            <w:r>
              <w:rPr>
                <w:rFonts w:ascii="Arial" w:hAnsi="Arial" w:cs="Arial"/>
                <w:vanish/>
                <w:color w:val="4272DB"/>
                <w:sz w:val="20"/>
                <w:lang w:eastAsia="en-US"/>
              </w:rPr>
              <w:t>Komika Magasin</w:t>
            </w:r>
            <w:r>
              <w:rPr>
                <w:rFonts w:ascii="Arial" w:hAnsi="Arial" w:cs="Arial"/>
                <w:vanish/>
                <w:color w:val="4272DB"/>
                <w:sz w:val="20"/>
                <w:lang w:eastAsia="en-US"/>
              </w:rPr>
              <w:fldChar w:fldCharType="end"/>
            </w:r>
            <w:r>
              <w:rPr>
                <w:rFonts w:ascii="Arial" w:hAnsi="Arial" w:cs="Arial"/>
                <w:vanish/>
                <w:color w:val="888888"/>
                <w:sz w:val="20"/>
                <w:lang w:eastAsia="en-US"/>
              </w:rPr>
              <w:t>-Swedish</w:t>
            </w:r>
          </w:p>
          <w:p w14:paraId="7AF1BB91">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"http://translate.google.com/?hl=en&amp;sl=de&amp;tl=en&amp;sugg=w&amp;hints=true&amp;q=http://www.focus.de/" </w:instrText>
            </w:r>
            <w:r>
              <w:fldChar w:fldCharType="separate"/>
            </w:r>
            <w:r>
              <w:rPr>
                <w:rFonts w:ascii="Arial" w:hAnsi="Arial" w:cs="Arial"/>
                <w:vanish/>
                <w:color w:val="4272DB"/>
                <w:sz w:val="20"/>
                <w:lang w:eastAsia="en-US"/>
              </w:rPr>
              <w:t>Focus Online</w:t>
            </w:r>
            <w:r>
              <w:rPr>
                <w:rFonts w:ascii="Arial" w:hAnsi="Arial" w:cs="Arial"/>
                <w:vanish/>
                <w:color w:val="4272DB"/>
                <w:sz w:val="20"/>
                <w:lang w:eastAsia="en-US"/>
              </w:rPr>
              <w:fldChar w:fldCharType="end"/>
            </w:r>
            <w:r>
              <w:rPr>
                <w:rFonts w:ascii="Arial" w:hAnsi="Arial" w:cs="Arial"/>
                <w:vanish/>
                <w:color w:val="888888"/>
                <w:sz w:val="20"/>
                <w:lang w:eastAsia="en-US"/>
              </w:rPr>
              <w:t>-Germany</w:t>
            </w:r>
          </w:p>
          <w:p w14:paraId="26B5B69E">
            <w:pPr>
              <w:numPr>
                <w:ilvl w:val="0"/>
                <w:numId w:val="18"/>
              </w:numPr>
              <w:spacing w:before="100" w:beforeAutospacing="1" w:after="120"/>
              <w:ind w:left="0" w:right="360"/>
              <w:textAlignment w:val="top"/>
              <w:rPr>
                <w:rFonts w:ascii="Arial" w:hAnsi="Arial" w:cs="Arial"/>
                <w:vanish/>
                <w:color w:val="888888"/>
                <w:sz w:val="20"/>
                <w:lang w:eastAsia="en-US"/>
              </w:rPr>
            </w:pPr>
            <w:r>
              <w:fldChar w:fldCharType="begin"/>
            </w:r>
            <w:r>
              <w:instrText xml:space="preserve"> HYPERLINK "http://translate.google.com/?hl=en&amp;sl=es&amp;tl=en&amp;sugg=w&amp;hints=true&amp;q=http://www.lainformacion.com/" </w:instrText>
            </w:r>
            <w:r>
              <w:fldChar w:fldCharType="separate"/>
            </w:r>
            <w:r>
              <w:rPr>
                <w:rFonts w:ascii="Arial" w:hAnsi="Arial" w:cs="Arial"/>
                <w:vanish/>
                <w:color w:val="4272DB"/>
                <w:sz w:val="20"/>
                <w:lang w:eastAsia="en-US"/>
              </w:rPr>
              <w:t>La Información</w:t>
            </w:r>
            <w:r>
              <w:rPr>
                <w:rFonts w:ascii="Arial" w:hAnsi="Arial" w:cs="Arial"/>
                <w:vanish/>
                <w:color w:val="4272DB"/>
                <w:sz w:val="20"/>
                <w:lang w:eastAsia="en-US"/>
              </w:rPr>
              <w:fldChar w:fldCharType="end"/>
            </w:r>
            <w:r>
              <w:rPr>
                <w:rFonts w:ascii="Arial" w:hAnsi="Arial" w:cs="Arial"/>
                <w:vanish/>
                <w:color w:val="888888"/>
                <w:sz w:val="20"/>
                <w:lang w:eastAsia="en-US"/>
              </w:rPr>
              <w:t>-Spain</w:t>
            </w:r>
          </w:p>
          <w:p w14:paraId="242B9880">
            <w:pPr>
              <w:spacing w:after="0"/>
              <w:textAlignment w:val="top"/>
              <w:rPr>
                <w:rFonts w:ascii="Arial" w:hAnsi="Arial" w:cs="Arial"/>
                <w:color w:val="000000"/>
                <w:sz w:val="20"/>
              </w:rPr>
            </w:pPr>
            <w:r>
              <w:rPr>
                <w:rStyle w:val="126"/>
                <w:rFonts w:ascii="Arial" w:hAnsi="Arial" w:cs="Arial"/>
                <w:color w:val="000000"/>
                <w:sz w:val="20"/>
              </w:rPr>
              <w:t>26.4</w:t>
            </w:r>
            <w:r>
              <w:rPr>
                <w:rFonts w:ascii="Arial" w:hAnsi="Arial" w:cs="Arial"/>
                <w:color w:val="000000"/>
                <w:sz w:val="20"/>
              </w:rPr>
              <w:t xml:space="preserve"> </w:t>
            </w:r>
            <w:r>
              <w:rPr>
                <w:rStyle w:val="126"/>
                <w:rFonts w:ascii="Arial" w:hAnsi="Arial" w:cs="Arial"/>
                <w:color w:val="000000"/>
                <w:sz w:val="20"/>
              </w:rPr>
              <w:t>Asnjë</w:t>
            </w:r>
            <w:r>
              <w:rPr>
                <w:rFonts w:ascii="Arial" w:hAnsi="Arial" w:cs="Arial"/>
                <w:color w:val="000000"/>
                <w:sz w:val="20"/>
              </w:rPr>
              <w:t xml:space="preserve"> </w:t>
            </w:r>
            <w:r>
              <w:rPr>
                <w:rStyle w:val="126"/>
                <w:rFonts w:ascii="Arial" w:hAnsi="Arial" w:cs="Arial"/>
                <w:color w:val="000000"/>
                <w:sz w:val="20"/>
              </w:rPr>
              <w:t>tërheqje</w:t>
            </w:r>
            <w:r>
              <w:rPr>
                <w:rFonts w:ascii="Arial" w:hAnsi="Arial" w:cs="Arial"/>
                <w:color w:val="000000"/>
                <w:sz w:val="20"/>
              </w:rPr>
              <w:t xml:space="preserve">, </w:t>
            </w:r>
            <w:r>
              <w:rPr>
                <w:rStyle w:val="126"/>
                <w:rFonts w:ascii="Arial" w:hAnsi="Arial" w:cs="Arial"/>
                <w:color w:val="000000"/>
                <w:sz w:val="20"/>
              </w:rPr>
              <w:t>zëvendësim</w:t>
            </w:r>
            <w:r>
              <w:rPr>
                <w:rFonts w:ascii="Arial" w:hAnsi="Arial" w:cs="Arial"/>
                <w:color w:val="000000"/>
                <w:sz w:val="20"/>
              </w:rPr>
              <w:t xml:space="preserve"> </w:t>
            </w:r>
            <w:r>
              <w:rPr>
                <w:rStyle w:val="126"/>
                <w:rFonts w:ascii="Arial" w:hAnsi="Arial" w:cs="Arial"/>
                <w:color w:val="000000"/>
                <w:sz w:val="20"/>
              </w:rPr>
              <w:t>apo</w:t>
            </w:r>
            <w:r>
              <w:rPr>
                <w:rFonts w:ascii="Arial" w:hAnsi="Arial" w:cs="Arial"/>
                <w:color w:val="000000"/>
                <w:sz w:val="20"/>
              </w:rPr>
              <w:t xml:space="preserve"> </w:t>
            </w:r>
            <w:r>
              <w:rPr>
                <w:rStyle w:val="126"/>
                <w:rFonts w:ascii="Arial" w:hAnsi="Arial" w:cs="Arial"/>
                <w:color w:val="000000"/>
                <w:sz w:val="20"/>
              </w:rPr>
              <w:t>modifikim</w:t>
            </w:r>
            <w:r>
              <w:rPr>
                <w:rFonts w:ascii="Arial" w:hAnsi="Arial" w:cs="Arial"/>
                <w:color w:val="000000"/>
                <w:sz w:val="20"/>
              </w:rPr>
              <w:t xml:space="preserve"> i</w:t>
            </w:r>
            <w:r>
              <w:rPr>
                <w:rStyle w:val="126"/>
                <w:rFonts w:ascii="Arial" w:hAnsi="Arial" w:cs="Arial"/>
                <w:color w:val="000000"/>
                <w:sz w:val="20"/>
              </w:rPr>
              <w:t xml:space="preserve"> tenderit nuk do të</w:t>
            </w:r>
            <w:r>
              <w:rPr>
                <w:rFonts w:ascii="Arial" w:hAnsi="Arial" w:cs="Arial"/>
                <w:color w:val="000000"/>
                <w:sz w:val="20"/>
              </w:rPr>
              <w:t xml:space="preserve"> </w:t>
            </w:r>
            <w:r>
              <w:rPr>
                <w:rStyle w:val="126"/>
                <w:rFonts w:ascii="Arial" w:hAnsi="Arial" w:cs="Arial"/>
                <w:color w:val="000000"/>
                <w:sz w:val="20"/>
              </w:rPr>
              <w:t>lejohet përveç</w:t>
            </w:r>
            <w:r>
              <w:rPr>
                <w:rFonts w:ascii="Arial" w:hAnsi="Arial" w:cs="Arial"/>
                <w:color w:val="000000"/>
                <w:sz w:val="20"/>
              </w:rPr>
              <w:t xml:space="preserve"> </w:t>
            </w:r>
            <w:r>
              <w:rPr>
                <w:rStyle w:val="126"/>
                <w:rFonts w:ascii="Arial" w:hAnsi="Arial" w:cs="Arial"/>
                <w:color w:val="000000"/>
                <w:sz w:val="20"/>
              </w:rPr>
              <w:t>nëse njoftimi</w:t>
            </w:r>
            <w:r>
              <w:rPr>
                <w:rFonts w:ascii="Arial" w:hAnsi="Arial" w:cs="Arial"/>
                <w:color w:val="000000"/>
                <w:sz w:val="20"/>
              </w:rPr>
              <w:t xml:space="preserve"> mbi </w:t>
            </w:r>
            <w:r>
              <w:rPr>
                <w:rStyle w:val="126"/>
                <w:rFonts w:ascii="Arial" w:hAnsi="Arial" w:cs="Arial"/>
                <w:color w:val="000000"/>
                <w:sz w:val="20"/>
              </w:rPr>
              <w:t xml:space="preserve">tërheqjen, </w:t>
            </w:r>
            <w:r>
              <w:rPr>
                <w:rFonts w:ascii="Arial" w:hAnsi="Arial" w:cs="Arial"/>
                <w:color w:val="000000"/>
                <w:sz w:val="20"/>
              </w:rPr>
              <w:t xml:space="preserve"> </w:t>
            </w:r>
            <w:r>
              <w:rPr>
                <w:rStyle w:val="126"/>
                <w:rFonts w:ascii="Arial" w:hAnsi="Arial" w:cs="Arial"/>
                <w:color w:val="000000"/>
                <w:sz w:val="20"/>
              </w:rPr>
              <w:t>zëvendësimin</w:t>
            </w:r>
            <w:r>
              <w:rPr>
                <w:rFonts w:ascii="Arial" w:hAnsi="Arial" w:cs="Arial"/>
                <w:color w:val="000000"/>
                <w:sz w:val="20"/>
              </w:rPr>
              <w:t xml:space="preserve"> </w:t>
            </w:r>
            <w:r>
              <w:rPr>
                <w:rStyle w:val="126"/>
                <w:rFonts w:ascii="Arial" w:hAnsi="Arial" w:cs="Arial"/>
                <w:color w:val="000000"/>
                <w:sz w:val="20"/>
              </w:rPr>
              <w:t>ose modifikimin</w:t>
            </w:r>
            <w:r>
              <w:rPr>
                <w:rFonts w:ascii="Arial" w:hAnsi="Arial" w:cs="Arial"/>
                <w:color w:val="000000"/>
                <w:sz w:val="20"/>
              </w:rPr>
              <w:t xml:space="preserve"> </w:t>
            </w:r>
            <w:r>
              <w:rPr>
                <w:rStyle w:val="126"/>
                <w:rFonts w:ascii="Arial" w:hAnsi="Arial" w:cs="Arial"/>
                <w:color w:val="000000"/>
                <w:sz w:val="20"/>
              </w:rPr>
              <w:t>përkatës përmban</w:t>
            </w:r>
            <w:r>
              <w:rPr>
                <w:rFonts w:ascii="Arial" w:hAnsi="Arial" w:cs="Arial"/>
                <w:color w:val="000000"/>
                <w:sz w:val="20"/>
              </w:rPr>
              <w:t xml:space="preserve"> </w:t>
            </w:r>
            <w:r>
              <w:rPr>
                <w:rStyle w:val="126"/>
                <w:rFonts w:ascii="Arial" w:hAnsi="Arial" w:cs="Arial"/>
                <w:color w:val="000000"/>
                <w:sz w:val="20"/>
              </w:rPr>
              <w:t>një</w:t>
            </w:r>
            <w:r>
              <w:rPr>
                <w:rFonts w:ascii="Arial" w:hAnsi="Arial" w:cs="Arial"/>
                <w:color w:val="000000"/>
                <w:sz w:val="20"/>
              </w:rPr>
              <w:t xml:space="preserve"> </w:t>
            </w:r>
            <w:r>
              <w:rPr>
                <w:rStyle w:val="126"/>
                <w:rFonts w:ascii="Arial" w:hAnsi="Arial" w:cs="Arial"/>
                <w:color w:val="000000"/>
                <w:sz w:val="20"/>
              </w:rPr>
              <w:t>autorizim të vlefshëm</w:t>
            </w:r>
            <w:r>
              <w:rPr>
                <w:rFonts w:ascii="Arial" w:hAnsi="Arial" w:cs="Arial"/>
                <w:color w:val="000000"/>
                <w:sz w:val="20"/>
              </w:rPr>
              <w:t xml:space="preserve"> </w:t>
            </w:r>
            <w:r>
              <w:rPr>
                <w:rStyle w:val="126"/>
                <w:rFonts w:ascii="Arial" w:hAnsi="Arial" w:cs="Arial"/>
                <w:color w:val="000000"/>
                <w:sz w:val="20"/>
              </w:rPr>
              <w:t>për</w:t>
            </w:r>
            <w:r>
              <w:rPr>
                <w:rFonts w:ascii="Arial" w:hAnsi="Arial" w:cs="Arial"/>
                <w:color w:val="000000"/>
                <w:sz w:val="20"/>
              </w:rPr>
              <w:t xml:space="preserve"> </w:t>
            </w:r>
            <w:r>
              <w:rPr>
                <w:rStyle w:val="126"/>
                <w:rFonts w:ascii="Arial" w:hAnsi="Arial" w:cs="Arial"/>
                <w:color w:val="000000"/>
                <w:sz w:val="20"/>
              </w:rPr>
              <w:t>të kërkuar</w:t>
            </w:r>
            <w:r>
              <w:rPr>
                <w:rFonts w:ascii="Arial" w:hAnsi="Arial" w:cs="Arial"/>
                <w:color w:val="000000"/>
                <w:sz w:val="20"/>
              </w:rPr>
              <w:t xml:space="preserve">, </w:t>
            </w:r>
            <w:r>
              <w:rPr>
                <w:rStyle w:val="126"/>
                <w:rFonts w:ascii="Arial" w:hAnsi="Arial" w:cs="Arial"/>
                <w:color w:val="000000"/>
                <w:sz w:val="20"/>
              </w:rPr>
              <w:t>tërheqjen zëvendësimin ose ndryshimin</w:t>
            </w:r>
            <w:r>
              <w:rPr>
                <w:rFonts w:ascii="Arial" w:hAnsi="Arial" w:cs="Arial"/>
                <w:color w:val="000000"/>
                <w:sz w:val="20"/>
              </w:rPr>
              <w:t xml:space="preserve"> </w:t>
            </w:r>
            <w:r>
              <w:rPr>
                <w:rStyle w:val="126"/>
                <w:rFonts w:ascii="Arial" w:hAnsi="Arial" w:cs="Arial"/>
                <w:color w:val="000000"/>
                <w:sz w:val="20"/>
              </w:rPr>
              <w:t>dhe është</w:t>
            </w:r>
            <w:r>
              <w:rPr>
                <w:rFonts w:ascii="Arial" w:hAnsi="Arial" w:cs="Arial"/>
                <w:color w:val="000000"/>
                <w:sz w:val="20"/>
              </w:rPr>
              <w:t xml:space="preserve"> </w:t>
            </w:r>
            <w:r>
              <w:rPr>
                <w:rStyle w:val="126"/>
                <w:rFonts w:ascii="Arial" w:hAnsi="Arial" w:cs="Arial"/>
                <w:color w:val="000000"/>
                <w:sz w:val="20"/>
              </w:rPr>
              <w:t>lexuar</w:t>
            </w:r>
            <w:r>
              <w:rPr>
                <w:rFonts w:ascii="Arial" w:hAnsi="Arial" w:cs="Arial"/>
                <w:color w:val="000000"/>
                <w:sz w:val="20"/>
              </w:rPr>
              <w:t xml:space="preserve">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hapjen e</w:t>
            </w:r>
            <w:r>
              <w:rPr>
                <w:rFonts w:ascii="Arial" w:hAnsi="Arial" w:cs="Arial"/>
                <w:color w:val="000000"/>
                <w:sz w:val="20"/>
              </w:rPr>
              <w:t xml:space="preserve"> </w:t>
            </w:r>
            <w:r>
              <w:rPr>
                <w:rStyle w:val="126"/>
                <w:rFonts w:ascii="Arial" w:hAnsi="Arial" w:cs="Arial"/>
                <w:color w:val="000000"/>
                <w:sz w:val="20"/>
              </w:rPr>
              <w:t>tenderëve</w:t>
            </w:r>
            <w:r>
              <w:rPr>
                <w:rFonts w:ascii="Arial" w:hAnsi="Arial" w:cs="Arial"/>
                <w:color w:val="000000"/>
                <w:sz w:val="20"/>
              </w:rPr>
              <w:t xml:space="preserve">. </w:t>
            </w:r>
            <w:r>
              <w:rPr>
                <w:rStyle w:val="126"/>
                <w:rFonts w:ascii="Arial" w:hAnsi="Arial" w:cs="Arial"/>
                <w:color w:val="000000"/>
                <w:sz w:val="20"/>
              </w:rPr>
              <w:t>Vetëm</w:t>
            </w:r>
            <w:r>
              <w:rPr>
                <w:rFonts w:ascii="Arial" w:hAnsi="Arial" w:cs="Arial"/>
                <w:color w:val="000000"/>
                <w:sz w:val="20"/>
              </w:rPr>
              <w:t xml:space="preserve"> </w:t>
            </w:r>
            <w:r>
              <w:rPr>
                <w:rStyle w:val="126"/>
                <w:rFonts w:ascii="Arial" w:hAnsi="Arial" w:cs="Arial"/>
                <w:color w:val="000000"/>
                <w:sz w:val="20"/>
              </w:rPr>
              <w:t>zarfet</w:t>
            </w:r>
            <w:r>
              <w:rPr>
                <w:rFonts w:ascii="Arial" w:hAnsi="Arial" w:cs="Arial"/>
                <w:color w:val="000000"/>
                <w:sz w:val="20"/>
              </w:rPr>
              <w:t xml:space="preserve">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 xml:space="preserve">janë </w:t>
            </w:r>
            <w:r>
              <w:rPr>
                <w:rFonts w:ascii="Arial" w:hAnsi="Arial" w:cs="Arial"/>
                <w:color w:val="000000"/>
                <w:sz w:val="20"/>
              </w:rPr>
              <w:t xml:space="preserve"> </w:t>
            </w:r>
            <w:r>
              <w:rPr>
                <w:rStyle w:val="126"/>
                <w:rFonts w:ascii="Arial" w:hAnsi="Arial" w:cs="Arial"/>
                <w:color w:val="000000"/>
                <w:sz w:val="20"/>
              </w:rPr>
              <w:t>hapur</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lexuar me zë</w:t>
            </w:r>
            <w:r>
              <w:rPr>
                <w:rFonts w:ascii="Arial" w:hAnsi="Arial" w:cs="Arial"/>
                <w:color w:val="000000"/>
                <w:sz w:val="20"/>
              </w:rPr>
              <w:t xml:space="preserve">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hapjen e</w:t>
            </w:r>
            <w:r>
              <w:rPr>
                <w:rFonts w:ascii="Arial" w:hAnsi="Arial" w:cs="Arial"/>
                <w:color w:val="000000"/>
                <w:sz w:val="20"/>
              </w:rPr>
              <w:t xml:space="preserve"> </w:t>
            </w:r>
            <w:r>
              <w:rPr>
                <w:rStyle w:val="126"/>
                <w:rFonts w:ascii="Arial" w:hAnsi="Arial" w:cs="Arial"/>
                <w:color w:val="000000"/>
                <w:sz w:val="20"/>
              </w:rPr>
              <w:t>tenderëve</w:t>
            </w:r>
            <w:r>
              <w:rPr>
                <w:rFonts w:ascii="Arial" w:hAnsi="Arial" w:cs="Arial"/>
                <w:color w:val="000000"/>
                <w:sz w:val="20"/>
              </w:rPr>
              <w:t xml:space="preserve"> </w:t>
            </w:r>
            <w:r>
              <w:rPr>
                <w:rStyle w:val="126"/>
                <w:rFonts w:ascii="Arial" w:hAnsi="Arial" w:cs="Arial"/>
                <w:color w:val="000000"/>
                <w:sz w:val="20"/>
              </w:rPr>
              <w:t>do të</w:t>
            </w:r>
            <w:r>
              <w:rPr>
                <w:rFonts w:ascii="Arial" w:hAnsi="Arial" w:cs="Arial"/>
                <w:color w:val="000000"/>
                <w:sz w:val="20"/>
              </w:rPr>
              <w:t xml:space="preserve"> </w:t>
            </w:r>
            <w:r>
              <w:rPr>
                <w:rStyle w:val="126"/>
                <w:rFonts w:ascii="Arial" w:hAnsi="Arial" w:cs="Arial"/>
                <w:color w:val="000000"/>
                <w:sz w:val="20"/>
              </w:rPr>
              <w:t>konsiderohen</w:t>
            </w:r>
            <w:r>
              <w:rPr>
                <w:rFonts w:ascii="Arial" w:hAnsi="Arial" w:cs="Arial"/>
                <w:color w:val="000000"/>
                <w:sz w:val="20"/>
              </w:rPr>
              <w:t xml:space="preserve"> </w:t>
            </w:r>
            <w:r>
              <w:rPr>
                <w:rStyle w:val="126"/>
                <w:rFonts w:ascii="Arial" w:hAnsi="Arial" w:cs="Arial"/>
                <w:color w:val="000000"/>
                <w:sz w:val="20"/>
              </w:rPr>
              <w:t>më tej</w:t>
            </w:r>
            <w:r>
              <w:rPr>
                <w:rFonts w:ascii="Arial" w:hAnsi="Arial" w:cs="Arial"/>
                <w:color w:val="000000"/>
                <w:sz w:val="20"/>
              </w:rPr>
              <w:t>.</w:t>
            </w:r>
          </w:p>
          <w:p w14:paraId="37863CD1">
            <w:pPr>
              <w:spacing w:after="0"/>
              <w:ind w:left="2720" w:hanging="170"/>
              <w:textAlignment w:val="top"/>
              <w:rPr>
                <w:rFonts w:ascii="Arial" w:hAnsi="Arial" w:cs="Arial"/>
                <w:color w:val="000000"/>
                <w:sz w:val="20"/>
              </w:rPr>
            </w:pPr>
          </w:p>
          <w:p w14:paraId="33D8015B">
            <w:pPr>
              <w:spacing w:after="0"/>
              <w:textAlignment w:val="top"/>
              <w:rPr>
                <w:rFonts w:ascii="Arial" w:hAnsi="Arial" w:cs="Arial"/>
                <w:color w:val="000000"/>
                <w:sz w:val="20"/>
                <w:lang w:eastAsia="en-US"/>
              </w:rPr>
            </w:pPr>
            <w:r>
              <w:rPr>
                <w:rFonts w:ascii="Arial" w:hAnsi="Arial" w:cs="Arial"/>
                <w:color w:val="000000"/>
                <w:sz w:val="20"/>
                <w:lang w:eastAsia="en-US"/>
              </w:rPr>
              <w:t>26.5 Të gjitha zarfet e tjera do të hapen në një kohë, duke lexuar me zë: emrin dhe adresën e tenderuesit, Çmimin total të tenderit të specifikuar në formularin e dorëzimit të Tenderit dhe, kurdo qe është e mundur,  çmimet për njësi. Kur për arsye te jo atypëratyshme çmimet për njësi nuk mund të lexon, çmimet e tilla në çdo rast duhet te bëhen të dukshme gjatë hapjes publike për të gjithë përfaqësuesit e ofertuesve, si për shembull duke bere  postimin e tyre ose duke përdorur ndonjë tjetër metode adekuate e cila garanton transparence . Në çdo rast, secila faqe e çdo tenderi financiar do të nënshkruhet gjatë hapjes publike nga një përfaqësues i një ofertuesi tjetër. Ne rast te aktivitetit te prokurimit ku kriter i shpërblimit te kontratës është tenderi ekonomikisht me i favorshëm çdo gjë qe ka te beje me numra duhet te lexohet si afati i dërgesës, periudha e garancionit etj. E gjithë kjo duhet të regjistrohen në procesverbalin e hapjes së tenderëve, i cili duhet të nënshkruhet nga Zyrtari i Prokurimit dhe nga të gjithë pjesëmarrësit në procesin e hapjes së tenderit. Kopjet e procesverbalit në fjalë, duhet tu dërgohen menjëherë të gjithë tenderuesve.</w:t>
            </w:r>
          </w:p>
        </w:tc>
      </w:tr>
      <w:tr w14:paraId="63412C68">
        <w:tblPrEx>
          <w:tblCellMar>
            <w:top w:w="0" w:type="dxa"/>
            <w:left w:w="108" w:type="dxa"/>
            <w:bottom w:w="0" w:type="dxa"/>
            <w:right w:w="108" w:type="dxa"/>
          </w:tblCellMar>
        </w:tblPrEx>
        <w:trPr>
          <w:jc w:val="center"/>
        </w:trPr>
        <w:tc>
          <w:tcPr>
            <w:tcW w:w="2120" w:type="dxa"/>
          </w:tcPr>
          <w:p w14:paraId="4EC2BBC5">
            <w:pPr>
              <w:pStyle w:val="111"/>
              <w:tabs>
                <w:tab w:val="clear" w:pos="360"/>
              </w:tabs>
              <w:spacing w:before="0" w:after="200"/>
              <w:ind w:left="0" w:firstLine="0"/>
              <w:rPr>
                <w:rFonts w:ascii="Arial" w:hAnsi="Arial" w:cs="Arial"/>
                <w:sz w:val="20"/>
                <w:lang w:val="sq-AL"/>
              </w:rPr>
            </w:pPr>
          </w:p>
        </w:tc>
        <w:tc>
          <w:tcPr>
            <w:tcW w:w="6405" w:type="dxa"/>
            <w:tcBorders>
              <w:bottom w:val="nil"/>
            </w:tcBorders>
          </w:tcPr>
          <w:p w14:paraId="1FAA4C63">
            <w:pPr>
              <w:pStyle w:val="2"/>
              <w:spacing w:before="120" w:after="120"/>
              <w:rPr>
                <w:rFonts w:ascii="Arial" w:hAnsi="Arial" w:cs="Arial"/>
                <w:sz w:val="24"/>
                <w:szCs w:val="24"/>
                <w:lang w:val="sq-AL"/>
              </w:rPr>
            </w:pPr>
            <w:bookmarkStart w:id="103" w:name="_Toc505659527"/>
            <w:bookmarkStart w:id="104" w:name="_Toc61936866"/>
            <w:bookmarkStart w:id="105" w:name="_Toc286139781"/>
            <w:bookmarkStart w:id="106" w:name="_Toc286833825"/>
            <w:bookmarkStart w:id="107" w:name="_Toc444607927"/>
            <w:r>
              <w:rPr>
                <w:rFonts w:ascii="Arial" w:hAnsi="Arial" w:cs="Arial"/>
                <w:sz w:val="24"/>
                <w:szCs w:val="24"/>
                <w:lang w:val="sq-AL"/>
              </w:rPr>
              <w:t xml:space="preserve">Vlerësimi dhe Krahasimi i </w:t>
            </w:r>
            <w:bookmarkEnd w:id="103"/>
            <w:bookmarkEnd w:id="104"/>
            <w:bookmarkEnd w:id="105"/>
            <w:r>
              <w:rPr>
                <w:rFonts w:ascii="Arial" w:hAnsi="Arial" w:cs="Arial"/>
                <w:sz w:val="24"/>
                <w:szCs w:val="24"/>
                <w:lang w:val="sq-AL"/>
              </w:rPr>
              <w:t>Tenderëve</w:t>
            </w:r>
            <w:bookmarkEnd w:id="106"/>
            <w:bookmarkEnd w:id="107"/>
          </w:p>
        </w:tc>
      </w:tr>
      <w:tr w14:paraId="2C17B70E">
        <w:tblPrEx>
          <w:tblCellMar>
            <w:top w:w="0" w:type="dxa"/>
            <w:left w:w="108" w:type="dxa"/>
            <w:bottom w:w="0" w:type="dxa"/>
            <w:right w:w="108" w:type="dxa"/>
          </w:tblCellMar>
        </w:tblPrEx>
        <w:trPr>
          <w:jc w:val="center"/>
        </w:trPr>
        <w:tc>
          <w:tcPr>
            <w:tcW w:w="2120" w:type="dxa"/>
          </w:tcPr>
          <w:p w14:paraId="565185B2">
            <w:pPr>
              <w:pStyle w:val="112"/>
              <w:spacing w:before="0" w:after="200"/>
              <w:ind w:left="0" w:firstLine="0"/>
              <w:rPr>
                <w:rFonts w:ascii="Arial" w:hAnsi="Arial" w:cs="Arial"/>
                <w:sz w:val="20"/>
                <w:lang w:val="sq-AL"/>
              </w:rPr>
            </w:pPr>
            <w:r>
              <w:rPr>
                <w:rFonts w:ascii="Arial" w:hAnsi="Arial" w:cs="Arial"/>
                <w:sz w:val="20"/>
                <w:lang w:val="sq-AL"/>
              </w:rPr>
              <w:t>27. Ekzaminimi i tenderëve</w:t>
            </w:r>
          </w:p>
        </w:tc>
        <w:tc>
          <w:tcPr>
            <w:tcW w:w="6405" w:type="dxa"/>
            <w:tcBorders>
              <w:bottom w:val="nil"/>
            </w:tcBorders>
          </w:tcPr>
          <w:p w14:paraId="1082D76E">
            <w:pPr>
              <w:spacing w:after="0"/>
              <w:rPr>
                <w:rFonts w:ascii="Arial" w:hAnsi="Arial" w:cs="Arial"/>
                <w:bCs/>
                <w:sz w:val="20"/>
              </w:rPr>
            </w:pPr>
            <w:r>
              <w:rPr>
                <w:rFonts w:ascii="Arial" w:hAnsi="Arial" w:cs="Arial"/>
                <w:sz w:val="20"/>
              </w:rPr>
              <w:t xml:space="preserve">27.1 </w:t>
            </w:r>
            <w:r>
              <w:rPr>
                <w:rFonts w:ascii="Arial" w:hAnsi="Arial" w:cs="Arial"/>
                <w:bCs/>
                <w:sz w:val="20"/>
              </w:rPr>
              <w:t>Tenderët e pranuar</w:t>
            </w:r>
            <w:r>
              <w:rPr>
                <w:rFonts w:ascii="Arial" w:hAnsi="Arial" w:cs="Arial"/>
                <w:b/>
                <w:sz w:val="20"/>
              </w:rPr>
              <w:t xml:space="preserve"> me kohë </w:t>
            </w:r>
            <w:r>
              <w:rPr>
                <w:rFonts w:ascii="Arial" w:hAnsi="Arial" w:cs="Arial"/>
                <w:bCs/>
                <w:sz w:val="20"/>
              </w:rPr>
              <w:t>do të ekzaminohen, vlerësohen dhe krahasohen në bazë të procedurës së përcaktuar në Rregulloren e</w:t>
            </w:r>
            <w:r>
              <w:rPr>
                <w:rFonts w:ascii="Arial" w:hAnsi="Arial" w:cs="Arial"/>
                <w:bCs/>
                <w:sz w:val="20"/>
              </w:rPr>
              <w:tab/>
            </w:r>
            <w:r>
              <w:rPr>
                <w:rFonts w:ascii="Arial" w:hAnsi="Arial" w:cs="Arial"/>
                <w:bCs/>
                <w:sz w:val="20"/>
              </w:rPr>
              <w:t xml:space="preserve"> Prokurimi Publik.</w:t>
            </w:r>
          </w:p>
          <w:p w14:paraId="068F61AB">
            <w:pPr>
              <w:spacing w:after="0"/>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p>
          <w:p w14:paraId="45A29445">
            <w:pPr>
              <w:spacing w:after="0"/>
              <w:rPr>
                <w:rFonts w:ascii="Arial" w:hAnsi="Arial" w:cs="Arial"/>
                <w:sz w:val="20"/>
              </w:rPr>
            </w:pPr>
            <w:r>
              <w:rPr>
                <w:rFonts w:ascii="Arial" w:hAnsi="Arial" w:cs="Arial"/>
                <w:bCs/>
                <w:sz w:val="20"/>
              </w:rPr>
              <w:t>27.2</w:t>
            </w:r>
            <w:r>
              <w:rPr>
                <w:rFonts w:ascii="Arial" w:hAnsi="Arial" w:cs="Arial"/>
                <w:sz w:val="20"/>
              </w:rPr>
              <w:t xml:space="preserve"> Tenderi konsiderohet të jetë i </w:t>
            </w:r>
            <w:r>
              <w:rPr>
                <w:rFonts w:ascii="Arial" w:hAnsi="Arial" w:cs="Arial"/>
                <w:b/>
                <w:bCs/>
                <w:sz w:val="20"/>
              </w:rPr>
              <w:t>përgjegjshëm</w:t>
            </w:r>
            <w:r>
              <w:rPr>
                <w:rFonts w:ascii="Arial" w:hAnsi="Arial" w:cs="Arial"/>
                <w:sz w:val="20"/>
              </w:rPr>
              <w:t xml:space="preserve"> kur:</w:t>
            </w:r>
          </w:p>
          <w:p w14:paraId="091EE8EC">
            <w:pPr>
              <w:spacing w:after="0"/>
              <w:ind w:left="2210" w:firstLine="170"/>
              <w:rPr>
                <w:rFonts w:ascii="Arial" w:hAnsi="Arial" w:cs="Arial"/>
                <w:sz w:val="20"/>
              </w:rPr>
            </w:pPr>
          </w:p>
          <w:p w14:paraId="01DA4EA6">
            <w:pPr>
              <w:pStyle w:val="115"/>
              <w:numPr>
                <w:ilvl w:val="0"/>
                <w:numId w:val="19"/>
              </w:numPr>
              <w:spacing w:after="120"/>
              <w:ind w:left="924" w:hanging="357"/>
              <w:rPr>
                <w:rFonts w:ascii="Arial" w:hAnsi="Arial" w:cs="Arial"/>
                <w:sz w:val="20"/>
              </w:rPr>
            </w:pPr>
            <w:r>
              <w:rPr>
                <w:rFonts w:ascii="Arial" w:hAnsi="Arial" w:cs="Arial"/>
                <w:sz w:val="20"/>
              </w:rPr>
              <w:t xml:space="preserve">është në pajtueshmëri nga aspekti administrativ me kërkesat formale të kësaj dosjeje të tenderit; </w:t>
            </w:r>
          </w:p>
          <w:p w14:paraId="2F07F086">
            <w:pPr>
              <w:pStyle w:val="115"/>
              <w:numPr>
                <w:ilvl w:val="0"/>
                <w:numId w:val="19"/>
              </w:numPr>
              <w:spacing w:after="120"/>
              <w:ind w:left="924" w:hanging="357"/>
              <w:rPr>
                <w:rFonts w:ascii="Arial" w:hAnsi="Arial" w:cs="Arial"/>
                <w:sz w:val="20"/>
              </w:rPr>
            </w:pPr>
            <w:r>
              <w:rPr>
                <w:rFonts w:ascii="Arial" w:hAnsi="Arial" w:cs="Arial"/>
                <w:sz w:val="20"/>
              </w:rPr>
              <w:t>është në pajtueshmëri në termet teknike me përshkrimin, kërkesat dhe specifikimet e përcaktuara në këtë dosje të tenderit;</w:t>
            </w:r>
          </w:p>
          <w:p w14:paraId="5EA323B1">
            <w:pPr>
              <w:pStyle w:val="115"/>
              <w:numPr>
                <w:ilvl w:val="0"/>
                <w:numId w:val="19"/>
              </w:numPr>
              <w:spacing w:after="120"/>
              <w:ind w:left="924" w:hanging="357"/>
              <w:rPr>
                <w:rFonts w:ascii="Arial" w:hAnsi="Arial" w:cs="Arial"/>
                <w:sz w:val="20"/>
              </w:rPr>
            </w:pPr>
            <w:r>
              <w:rPr>
                <w:rFonts w:ascii="Arial" w:hAnsi="Arial" w:cs="Arial"/>
                <w:sz w:val="20"/>
              </w:rPr>
              <w:t xml:space="preserve">është dorëzuar nga operatori ekonomik që përmbush kriteret e përzgjedhjes të përcaktuara në këtë dosjeje të tenderit. </w:t>
            </w:r>
          </w:p>
          <w:p w14:paraId="339D1412">
            <w:pPr>
              <w:pStyle w:val="115"/>
              <w:spacing w:after="120"/>
              <w:ind w:left="0"/>
              <w:rPr>
                <w:rFonts w:ascii="Arial" w:hAnsi="Arial" w:cs="Arial"/>
                <w:sz w:val="20"/>
              </w:rPr>
            </w:pPr>
          </w:p>
        </w:tc>
      </w:tr>
      <w:tr w14:paraId="60747D83">
        <w:tblPrEx>
          <w:tblCellMar>
            <w:top w:w="0" w:type="dxa"/>
            <w:left w:w="108" w:type="dxa"/>
            <w:bottom w:w="0" w:type="dxa"/>
            <w:right w:w="108" w:type="dxa"/>
          </w:tblCellMar>
        </w:tblPrEx>
        <w:trPr>
          <w:jc w:val="center"/>
        </w:trPr>
        <w:tc>
          <w:tcPr>
            <w:tcW w:w="2120" w:type="dxa"/>
          </w:tcPr>
          <w:p w14:paraId="24D656A0">
            <w:pPr>
              <w:pStyle w:val="112"/>
              <w:spacing w:before="0" w:after="0"/>
              <w:ind w:left="357" w:hanging="357"/>
              <w:rPr>
                <w:rFonts w:ascii="Arial" w:hAnsi="Arial" w:cs="Arial"/>
                <w:sz w:val="20"/>
                <w:lang w:val="sq-AL"/>
              </w:rPr>
            </w:pPr>
            <w:bookmarkStart w:id="108" w:name="_Toc61936868"/>
            <w:r>
              <w:rPr>
                <w:rFonts w:ascii="Arial" w:hAnsi="Arial" w:cs="Arial"/>
                <w:sz w:val="20"/>
                <w:lang w:val="sq-AL"/>
              </w:rPr>
              <w:t>28. Sqarimi i Tenderëve</w:t>
            </w:r>
            <w:bookmarkEnd w:id="108"/>
          </w:p>
        </w:tc>
        <w:tc>
          <w:tcPr>
            <w:tcW w:w="6405" w:type="dxa"/>
          </w:tcPr>
          <w:p w14:paraId="4DC5F6FD">
            <w:pPr>
              <w:spacing w:after="0"/>
              <w:ind w:left="11"/>
              <w:outlineLvl w:val="0"/>
              <w:rPr>
                <w:rFonts w:ascii="Arial" w:hAnsi="Arial" w:cs="Arial"/>
                <w:b/>
                <w:sz w:val="20"/>
              </w:rPr>
            </w:pPr>
            <w:r>
              <w:rPr>
                <w:rFonts w:ascii="Arial" w:hAnsi="Arial" w:cs="Arial"/>
                <w:sz w:val="20"/>
              </w:rPr>
              <w:t>28.1 Për të lehtësuar ekzaminimin, vlerësimin dhe krahasimin e</w:t>
            </w:r>
            <w:r>
              <w:rPr>
                <w:rFonts w:ascii="Arial" w:hAnsi="Arial" w:cs="Arial"/>
                <w:b/>
                <w:sz w:val="20"/>
              </w:rPr>
              <w:t xml:space="preserve"> </w:t>
            </w:r>
            <w:r>
              <w:rPr>
                <w:rFonts w:ascii="Arial" w:hAnsi="Arial" w:cs="Arial"/>
                <w:sz w:val="20"/>
              </w:rPr>
              <w:t>tenderëve, Autoriteti Kontraktues mund të kërkojë nga secili</w:t>
            </w:r>
            <w:r>
              <w:rPr>
                <w:rFonts w:ascii="Arial" w:hAnsi="Arial" w:cs="Arial"/>
                <w:b/>
                <w:sz w:val="20"/>
              </w:rPr>
              <w:t xml:space="preserve"> </w:t>
            </w:r>
            <w:r>
              <w:rPr>
                <w:rFonts w:ascii="Arial" w:hAnsi="Arial" w:cs="Arial"/>
                <w:sz w:val="20"/>
              </w:rPr>
              <w:t>Tenderues individualisht sqarim mbi tenderin e tij/saj. Autoriteti kontraktues mund të kerkoje nga secili Tenderues për të plotësuar apo të qartësojë certifikatat dhe dokumentet e paraqitura në pajtim me nenet 65-71 të LPP. Megjithate, sigurimi i informacionit qe mungon ose ofrimi i informacionit do të aplikohet vetëm për dokumentet ekzistenca e të cilave është e fiksuar, para skadimit të afatit për dorëzimin e tenderëve, dhe mund të verifikohet në mënyrë objective. Secili</w:t>
            </w:r>
            <w:r>
              <w:rPr>
                <w:rStyle w:val="126"/>
                <w:rFonts w:ascii="Arial" w:hAnsi="Arial" w:cs="Arial"/>
                <w:color w:val="000000"/>
                <w:sz w:val="20"/>
              </w:rPr>
              <w:t xml:space="preserve"> sqarim qe</w:t>
            </w:r>
            <w:r>
              <w:rPr>
                <w:rFonts w:ascii="Arial" w:hAnsi="Arial" w:cs="Arial"/>
                <w:color w:val="000000"/>
                <w:sz w:val="20"/>
              </w:rPr>
              <w:t xml:space="preserve"> </w:t>
            </w:r>
            <w:r>
              <w:rPr>
                <w:rStyle w:val="126"/>
                <w:rFonts w:ascii="Arial" w:hAnsi="Arial" w:cs="Arial"/>
                <w:color w:val="000000"/>
                <w:sz w:val="20"/>
              </w:rPr>
              <w:t>dorëzohet</w:t>
            </w:r>
            <w:r>
              <w:rPr>
                <w:rFonts w:ascii="Arial" w:hAnsi="Arial" w:cs="Arial"/>
                <w:color w:val="000000"/>
                <w:sz w:val="20"/>
              </w:rPr>
              <w:t xml:space="preserve"> </w:t>
            </w:r>
            <w:r>
              <w:rPr>
                <w:rStyle w:val="126"/>
                <w:rFonts w:ascii="Arial" w:hAnsi="Arial" w:cs="Arial"/>
                <w:color w:val="000000"/>
                <w:sz w:val="20"/>
              </w:rPr>
              <w:t>nga</w:t>
            </w:r>
            <w:r>
              <w:rPr>
                <w:rFonts w:ascii="Arial" w:hAnsi="Arial" w:cs="Arial"/>
                <w:color w:val="000000"/>
                <w:sz w:val="20"/>
              </w:rPr>
              <w:t xml:space="preserve"> </w:t>
            </w:r>
            <w:r>
              <w:rPr>
                <w:rStyle w:val="126"/>
                <w:rFonts w:ascii="Arial" w:hAnsi="Arial" w:cs="Arial"/>
                <w:color w:val="000000"/>
                <w:sz w:val="20"/>
              </w:rPr>
              <w:t>tenderuesi</w:t>
            </w:r>
            <w:r>
              <w:rPr>
                <w:rFonts w:ascii="Arial" w:hAnsi="Arial" w:cs="Arial"/>
                <w:color w:val="000000"/>
                <w:sz w:val="20"/>
              </w:rPr>
              <w:t xml:space="preserve"> </w:t>
            </w:r>
            <w:r>
              <w:rPr>
                <w:rStyle w:val="126"/>
                <w:rFonts w:ascii="Arial" w:hAnsi="Arial" w:cs="Arial"/>
                <w:color w:val="000000"/>
                <w:sz w:val="20"/>
              </w:rPr>
              <w:t>në</w:t>
            </w:r>
            <w:r>
              <w:rPr>
                <w:rFonts w:ascii="Arial" w:hAnsi="Arial" w:cs="Arial"/>
                <w:color w:val="000000"/>
                <w:sz w:val="20"/>
              </w:rPr>
              <w:t xml:space="preserve"> </w:t>
            </w:r>
            <w:r>
              <w:rPr>
                <w:rStyle w:val="126"/>
                <w:rFonts w:ascii="Arial" w:hAnsi="Arial" w:cs="Arial"/>
                <w:color w:val="000000"/>
                <w:sz w:val="20"/>
              </w:rPr>
              <w:t>lidhje</w:t>
            </w:r>
            <w:r>
              <w:rPr>
                <w:rFonts w:ascii="Arial" w:hAnsi="Arial" w:cs="Arial"/>
                <w:color w:val="000000"/>
                <w:sz w:val="20"/>
              </w:rPr>
              <w:t xml:space="preserve"> </w:t>
            </w:r>
            <w:r>
              <w:rPr>
                <w:rStyle w:val="126"/>
                <w:rFonts w:ascii="Arial" w:hAnsi="Arial" w:cs="Arial"/>
                <w:color w:val="000000"/>
                <w:sz w:val="20"/>
              </w:rPr>
              <w:t>me</w:t>
            </w:r>
            <w:r>
              <w:rPr>
                <w:rFonts w:ascii="Arial" w:hAnsi="Arial" w:cs="Arial"/>
                <w:color w:val="000000"/>
                <w:sz w:val="20"/>
              </w:rPr>
              <w:t xml:space="preserve"> </w:t>
            </w:r>
            <w:r>
              <w:rPr>
                <w:rStyle w:val="126"/>
                <w:rFonts w:ascii="Arial" w:hAnsi="Arial" w:cs="Arial"/>
                <w:color w:val="000000"/>
                <w:sz w:val="20"/>
              </w:rPr>
              <w:t>tenderin</w:t>
            </w:r>
            <w:r>
              <w:rPr>
                <w:rFonts w:ascii="Arial" w:hAnsi="Arial" w:cs="Arial"/>
                <w:color w:val="000000"/>
                <w:sz w:val="20"/>
              </w:rPr>
              <w:t xml:space="preserve"> </w:t>
            </w:r>
            <w:r>
              <w:rPr>
                <w:rStyle w:val="126"/>
                <w:rFonts w:ascii="Arial" w:hAnsi="Arial" w:cs="Arial"/>
                <w:color w:val="000000"/>
                <w:sz w:val="20"/>
              </w:rPr>
              <w:t>e tij</w:t>
            </w:r>
            <w:r>
              <w:rPr>
                <w:rFonts w:ascii="Arial" w:hAnsi="Arial" w:cs="Arial"/>
                <w:color w:val="000000"/>
                <w:sz w:val="20"/>
              </w:rPr>
              <w:t xml:space="preserve"> </w:t>
            </w:r>
            <w:r>
              <w:rPr>
                <w:rStyle w:val="126"/>
                <w:rFonts w:ascii="Arial" w:hAnsi="Arial" w:cs="Arial"/>
                <w:color w:val="000000"/>
                <w:sz w:val="20"/>
              </w:rPr>
              <w:t>dhe</w:t>
            </w:r>
            <w:r>
              <w:rPr>
                <w:rFonts w:ascii="Arial" w:hAnsi="Arial" w:cs="Arial"/>
                <w:color w:val="000000"/>
                <w:sz w:val="20"/>
              </w:rPr>
              <w:t xml:space="preserve"> </w:t>
            </w:r>
            <w:r>
              <w:rPr>
                <w:rStyle w:val="126"/>
                <w:rFonts w:ascii="Arial" w:hAnsi="Arial" w:cs="Arial"/>
                <w:color w:val="000000"/>
                <w:sz w:val="20"/>
              </w:rPr>
              <w:t>që</w:t>
            </w:r>
            <w:r>
              <w:rPr>
                <w:rFonts w:ascii="Arial" w:hAnsi="Arial" w:cs="Arial"/>
                <w:color w:val="000000"/>
                <w:sz w:val="20"/>
              </w:rPr>
              <w:t xml:space="preserve"> </w:t>
            </w:r>
            <w:r>
              <w:rPr>
                <w:rStyle w:val="126"/>
                <w:rFonts w:ascii="Arial" w:hAnsi="Arial" w:cs="Arial"/>
                <w:color w:val="000000"/>
                <w:sz w:val="20"/>
              </w:rPr>
              <w:t>nuk</w:t>
            </w:r>
            <w:r>
              <w:rPr>
                <w:rFonts w:ascii="Arial" w:hAnsi="Arial" w:cs="Arial"/>
                <w:color w:val="000000"/>
                <w:sz w:val="20"/>
              </w:rPr>
              <w:t xml:space="preserve"> </w:t>
            </w:r>
            <w:r>
              <w:rPr>
                <w:rStyle w:val="126"/>
                <w:rFonts w:ascii="Arial" w:hAnsi="Arial" w:cs="Arial"/>
                <w:color w:val="000000"/>
                <w:sz w:val="20"/>
              </w:rPr>
              <w:t>është</w:t>
            </w:r>
            <w:r>
              <w:rPr>
                <w:rFonts w:ascii="Arial" w:hAnsi="Arial" w:cs="Arial"/>
                <w:color w:val="000000"/>
                <w:sz w:val="20"/>
              </w:rPr>
              <w:t xml:space="preserve"> ne përputhje me</w:t>
            </w:r>
            <w:r>
              <w:rPr>
                <w:rStyle w:val="126"/>
                <w:rFonts w:ascii="Arial" w:hAnsi="Arial" w:cs="Arial"/>
                <w:color w:val="000000"/>
                <w:sz w:val="20"/>
              </w:rPr>
              <w:t xml:space="preserve"> kërkesën</w:t>
            </w:r>
            <w:r>
              <w:rPr>
                <w:rFonts w:ascii="Arial" w:hAnsi="Arial" w:cs="Arial"/>
                <w:color w:val="000000"/>
                <w:sz w:val="20"/>
              </w:rPr>
              <w:t xml:space="preserve"> </w:t>
            </w:r>
            <w:r>
              <w:rPr>
                <w:rStyle w:val="126"/>
                <w:rFonts w:ascii="Arial" w:hAnsi="Arial" w:cs="Arial"/>
                <w:color w:val="000000"/>
                <w:sz w:val="20"/>
              </w:rPr>
              <w:t>nga</w:t>
            </w:r>
            <w:r>
              <w:rPr>
                <w:rFonts w:ascii="Arial" w:hAnsi="Arial" w:cs="Arial"/>
                <w:color w:val="000000"/>
                <w:sz w:val="20"/>
              </w:rPr>
              <w:t xml:space="preserve"> </w:t>
            </w:r>
            <w:r>
              <w:rPr>
                <w:rStyle w:val="126"/>
                <w:rFonts w:ascii="Arial" w:hAnsi="Arial" w:cs="Arial"/>
                <w:color w:val="000000"/>
                <w:sz w:val="20"/>
              </w:rPr>
              <w:t>autoriteti</w:t>
            </w:r>
            <w:r>
              <w:rPr>
                <w:rFonts w:ascii="Arial" w:hAnsi="Arial" w:cs="Arial"/>
                <w:color w:val="000000"/>
                <w:sz w:val="20"/>
              </w:rPr>
              <w:t xml:space="preserve"> </w:t>
            </w:r>
            <w:r>
              <w:rPr>
                <w:rStyle w:val="126"/>
                <w:rFonts w:ascii="Arial" w:hAnsi="Arial" w:cs="Arial"/>
                <w:color w:val="000000"/>
                <w:sz w:val="20"/>
              </w:rPr>
              <w:t>kontraktues</w:t>
            </w:r>
            <w:r>
              <w:rPr>
                <w:rFonts w:ascii="Arial" w:hAnsi="Arial" w:cs="Arial"/>
                <w:color w:val="000000"/>
                <w:sz w:val="20"/>
              </w:rPr>
              <w:t xml:space="preserve"> </w:t>
            </w:r>
            <w:r>
              <w:rPr>
                <w:rStyle w:val="126"/>
                <w:rFonts w:ascii="Arial" w:hAnsi="Arial" w:cs="Arial"/>
                <w:color w:val="000000"/>
                <w:sz w:val="20"/>
              </w:rPr>
              <w:t>nuk do të</w:t>
            </w:r>
            <w:r>
              <w:rPr>
                <w:rFonts w:ascii="Arial" w:hAnsi="Arial" w:cs="Arial"/>
                <w:color w:val="000000"/>
                <w:sz w:val="20"/>
              </w:rPr>
              <w:t xml:space="preserve"> </w:t>
            </w:r>
            <w:r>
              <w:rPr>
                <w:rStyle w:val="126"/>
                <w:rFonts w:ascii="Arial" w:hAnsi="Arial" w:cs="Arial"/>
                <w:color w:val="000000"/>
                <w:sz w:val="20"/>
              </w:rPr>
              <w:t>konsiderohet</w:t>
            </w:r>
            <w:r>
              <w:rPr>
                <w:rFonts w:ascii="Arial" w:hAnsi="Arial" w:cs="Arial"/>
                <w:color w:val="000000"/>
                <w:sz w:val="20"/>
              </w:rPr>
              <w:t>.</w:t>
            </w:r>
          </w:p>
          <w:p w14:paraId="3EA130F6">
            <w:pPr>
              <w:spacing w:after="0"/>
              <w:ind w:left="11"/>
              <w:outlineLvl w:val="0"/>
              <w:rPr>
                <w:rFonts w:ascii="Arial" w:hAnsi="Arial" w:cs="Arial"/>
                <w:b/>
                <w:sz w:val="20"/>
              </w:rPr>
            </w:pPr>
          </w:p>
          <w:p w14:paraId="48E01A2B">
            <w:pPr>
              <w:spacing w:after="120"/>
              <w:ind w:firstLine="11"/>
              <w:outlineLvl w:val="0"/>
              <w:rPr>
                <w:rFonts w:ascii="Arial" w:hAnsi="Arial" w:cs="Arial"/>
                <w:sz w:val="20"/>
              </w:rPr>
            </w:pPr>
            <w:r>
              <w:rPr>
                <w:rStyle w:val="126"/>
                <w:rFonts w:ascii="Arial" w:hAnsi="Arial" w:cs="Arial"/>
                <w:color w:val="000000"/>
                <w:sz w:val="20"/>
              </w:rPr>
              <w:t>28.2</w:t>
            </w:r>
            <w:r>
              <w:rPr>
                <w:rFonts w:ascii="Arial" w:hAnsi="Arial" w:cs="Arial"/>
                <w:color w:val="000000"/>
                <w:sz w:val="20"/>
              </w:rPr>
              <w:t xml:space="preserve"> </w:t>
            </w:r>
            <w:r>
              <w:rPr>
                <w:rFonts w:ascii="Arial" w:hAnsi="Arial" w:cs="Arial"/>
                <w:sz w:val="20"/>
              </w:rPr>
              <w:t xml:space="preserve">Kërkesa për sqarim dhe përgjigjja duhet të bëhen vetëm me shkrim, por nuk guxon të kërkohet, ofrohet ose lejohet asnjë ndryshim në çmim. </w:t>
            </w:r>
          </w:p>
          <w:p w14:paraId="5858C46D">
            <w:pPr>
              <w:spacing w:after="120"/>
              <w:ind w:firstLine="11"/>
              <w:outlineLvl w:val="0"/>
              <w:rPr>
                <w:rFonts w:ascii="Arial" w:hAnsi="Arial" w:cs="Arial"/>
                <w:sz w:val="20"/>
              </w:rPr>
            </w:pPr>
            <w:r>
              <w:rPr>
                <w:rFonts w:ascii="Arial" w:hAnsi="Arial" w:cs="Arial"/>
                <w:sz w:val="20"/>
              </w:rPr>
              <w:t>28.3 Autoriteti kontraktues do të përmirësojë gabimet në një tenderë të cilat janë tërësisht aritmetike, nëse gabimet e tilla zbulohen gjatë ekzaminimit të tenderëve sidoqoftë ky përmirësim nuk mund të jetë më shumë se dy përqind (2%) i vlerës totale të ofertës. Në një rast të tillë, çmimi për njësi i ofertuar nga operatori ekonomik në tenderin e tij financiar gjithmonë do të konsiderohet si çmim mbizotërues mbi çdo çmim tjetër kontradiktor. Kur nuk kërkohen çmimet për njësi, elementet e çmimit të vetëm të çmimit total të ofruara nga operatori ekonomik në tenderin e tij financiar gjithmonë do të konsiderohen si çmim mbizotërues mbi çmimin total. Gabimet e korrigjuara në këtë mënyrë do të jenë të obligueshme për tenderuesin. Autoriteti kontraktues menjëherë do ti dërgojë të gjithë tenderuesve përkatës një njoftim me shkrim mbi ndryshimet e tilla. 28.4 Ne rast te mospërputhjeve ne mes çmimit për njësi dhe vlerës totale, apo fjalëve dhe figurave, çmimi për njësi dhe fjalët  do te mbizotërojnë.</w:t>
            </w:r>
          </w:p>
        </w:tc>
      </w:tr>
      <w:tr w14:paraId="5C03316A">
        <w:tblPrEx>
          <w:tblCellMar>
            <w:top w:w="0" w:type="dxa"/>
            <w:left w:w="108" w:type="dxa"/>
            <w:bottom w:w="0" w:type="dxa"/>
            <w:right w:w="108" w:type="dxa"/>
          </w:tblCellMar>
        </w:tblPrEx>
        <w:trPr>
          <w:jc w:val="center"/>
        </w:trPr>
        <w:tc>
          <w:tcPr>
            <w:tcW w:w="2120" w:type="dxa"/>
          </w:tcPr>
          <w:p w14:paraId="6FFFE45A">
            <w:pPr>
              <w:pStyle w:val="112"/>
              <w:spacing w:before="0" w:after="200"/>
              <w:ind w:left="0" w:firstLine="0"/>
              <w:rPr>
                <w:rFonts w:ascii="Arial" w:hAnsi="Arial" w:cs="Arial"/>
                <w:sz w:val="20"/>
                <w:lang w:val="sq-AL"/>
              </w:rPr>
            </w:pPr>
            <w:r>
              <w:rPr>
                <w:rFonts w:ascii="Arial" w:hAnsi="Arial" w:cs="Arial"/>
                <w:sz w:val="20"/>
                <w:lang w:val="sq-AL"/>
              </w:rPr>
              <w:t>29. Përgjegjshmëria e tenderëve</w:t>
            </w:r>
          </w:p>
        </w:tc>
        <w:tc>
          <w:tcPr>
            <w:tcW w:w="6405" w:type="dxa"/>
            <w:tcBorders>
              <w:bottom w:val="nil"/>
            </w:tcBorders>
          </w:tcPr>
          <w:p w14:paraId="46E841C3">
            <w:pPr>
              <w:spacing w:after="120"/>
              <w:ind w:firstLine="11"/>
              <w:outlineLvl w:val="0"/>
              <w:rPr>
                <w:rFonts w:ascii="Arial" w:hAnsi="Arial" w:cs="Arial"/>
                <w:sz w:val="20"/>
              </w:rPr>
            </w:pPr>
            <w:r>
              <w:rPr>
                <w:rFonts w:ascii="Arial" w:hAnsi="Arial" w:cs="Arial"/>
                <w:sz w:val="20"/>
              </w:rPr>
              <w:t xml:space="preserve">29.1 </w:t>
            </w:r>
            <w:r>
              <w:rPr>
                <w:rStyle w:val="126"/>
                <w:rFonts w:ascii="Arial" w:hAnsi="Arial" w:cs="Arial"/>
                <w:color w:val="000000"/>
                <w:sz w:val="20"/>
              </w:rPr>
              <w:t xml:space="preserve">Nëse tenderi nuk është i përgjegjshëm do të refuzohet </w:t>
            </w:r>
            <w:r>
              <w:rPr>
                <w:rFonts w:ascii="Arial" w:hAnsi="Arial" w:cs="Arial"/>
                <w:sz w:val="20"/>
              </w:rPr>
              <w:t xml:space="preserve">dhe nuk mund të bëhet i tillë që të jetë në pajtueshmëri më vonë duke e korrigjuar atë ose duke e tërhequr largimin ose kufizimin. </w:t>
            </w:r>
          </w:p>
          <w:p w14:paraId="572FB36D">
            <w:pPr>
              <w:tabs>
                <w:tab w:val="left" w:pos="0"/>
              </w:tabs>
              <w:spacing w:after="120"/>
              <w:ind w:firstLine="1"/>
              <w:rPr>
                <w:rFonts w:ascii="Arial" w:hAnsi="Arial" w:cs="Arial"/>
                <w:bCs/>
                <w:sz w:val="20"/>
              </w:rPr>
            </w:pPr>
            <w:r>
              <w:rPr>
                <w:rFonts w:ascii="Arial" w:hAnsi="Arial" w:cs="Arial"/>
                <w:bCs/>
                <w:sz w:val="20"/>
              </w:rPr>
              <w:t>29.2 Tenderët e</w:t>
            </w:r>
            <w:r>
              <w:rPr>
                <w:rFonts w:ascii="Arial" w:hAnsi="Arial" w:cs="Arial"/>
                <w:b/>
                <w:sz w:val="20"/>
              </w:rPr>
              <w:t xml:space="preserve"> përgjegjshëm </w:t>
            </w:r>
            <w:r>
              <w:rPr>
                <w:rFonts w:ascii="Arial" w:hAnsi="Arial" w:cs="Arial"/>
                <w:bCs/>
                <w:sz w:val="20"/>
              </w:rPr>
              <w:t>do të vlerësohen</w:t>
            </w:r>
            <w:r>
              <w:rPr>
                <w:rFonts w:ascii="Arial" w:hAnsi="Arial" w:cs="Arial"/>
                <w:b/>
                <w:sz w:val="20"/>
              </w:rPr>
              <w:t xml:space="preserve"> </w:t>
            </w:r>
            <w:r>
              <w:rPr>
                <w:rFonts w:ascii="Arial" w:hAnsi="Arial" w:cs="Arial"/>
                <w:bCs/>
                <w:sz w:val="20"/>
              </w:rPr>
              <w:t xml:space="preserve">dhe krahasohen sipas </w:t>
            </w:r>
            <w:r>
              <w:rPr>
                <w:rFonts w:ascii="Arial" w:hAnsi="Arial" w:cs="Arial"/>
                <w:sz w:val="20"/>
              </w:rPr>
              <w:t>kritereve për dhënien e kontratës</w:t>
            </w:r>
            <w:r>
              <w:rPr>
                <w:rFonts w:ascii="Arial" w:hAnsi="Arial" w:cs="Arial"/>
                <w:b/>
                <w:sz w:val="20"/>
              </w:rPr>
              <w:t xml:space="preserve"> </w:t>
            </w:r>
            <w:r>
              <w:rPr>
                <w:rFonts w:ascii="Arial" w:hAnsi="Arial" w:cs="Arial"/>
                <w:bCs/>
                <w:sz w:val="20"/>
              </w:rPr>
              <w:t xml:space="preserve">të përcaktuara në Dosjen e tenderit. Tenderuesi i cili ka dorëzuar tenderin e renditur më të lartë do t’i jepet kontrata. </w:t>
            </w:r>
          </w:p>
        </w:tc>
      </w:tr>
      <w:tr w14:paraId="661BCE34">
        <w:tblPrEx>
          <w:tblCellMar>
            <w:top w:w="0" w:type="dxa"/>
            <w:left w:w="108" w:type="dxa"/>
            <w:bottom w:w="0" w:type="dxa"/>
            <w:right w:w="108" w:type="dxa"/>
          </w:tblCellMar>
        </w:tblPrEx>
        <w:trPr>
          <w:jc w:val="center"/>
        </w:trPr>
        <w:tc>
          <w:tcPr>
            <w:tcW w:w="2120" w:type="dxa"/>
          </w:tcPr>
          <w:p w14:paraId="018BA107">
            <w:pPr>
              <w:pStyle w:val="111"/>
              <w:tabs>
                <w:tab w:val="clear" w:pos="360"/>
              </w:tabs>
              <w:spacing w:before="0" w:after="200"/>
              <w:ind w:left="0" w:firstLine="0"/>
              <w:rPr>
                <w:rFonts w:ascii="Arial" w:hAnsi="Arial" w:cs="Arial"/>
                <w:sz w:val="20"/>
                <w:lang w:val="sq-AL"/>
              </w:rPr>
            </w:pPr>
          </w:p>
        </w:tc>
        <w:tc>
          <w:tcPr>
            <w:tcW w:w="6405" w:type="dxa"/>
          </w:tcPr>
          <w:p w14:paraId="64AD4423">
            <w:pPr>
              <w:pStyle w:val="2"/>
              <w:spacing w:before="120" w:after="120"/>
              <w:rPr>
                <w:rFonts w:ascii="Arial" w:hAnsi="Arial" w:cs="Arial"/>
                <w:bCs w:val="0"/>
                <w:sz w:val="24"/>
                <w:szCs w:val="24"/>
                <w:lang w:val="sq-AL"/>
              </w:rPr>
            </w:pPr>
            <w:bookmarkStart w:id="109" w:name="_Toc444607928"/>
            <w:bookmarkStart w:id="110" w:name="_Toc286833826"/>
            <w:r>
              <w:rPr>
                <w:rFonts w:ascii="Arial" w:hAnsi="Arial" w:cs="Arial"/>
                <w:sz w:val="24"/>
                <w:szCs w:val="24"/>
                <w:lang w:val="sq-AL"/>
              </w:rPr>
              <w:t>Dh</w:t>
            </w:r>
            <w:r>
              <w:rPr>
                <w:rStyle w:val="126"/>
                <w:rFonts w:ascii="Arial" w:hAnsi="Arial" w:cs="Arial"/>
                <w:color w:val="000000"/>
                <w:sz w:val="24"/>
                <w:szCs w:val="24"/>
                <w:lang w:val="sq-AL"/>
              </w:rPr>
              <w:t>ënia e Kontratës</w:t>
            </w:r>
            <w:bookmarkEnd w:id="109"/>
            <w:bookmarkEnd w:id="110"/>
            <w:r>
              <w:rPr>
                <w:rStyle w:val="126"/>
                <w:rFonts w:ascii="Arial" w:hAnsi="Arial" w:cs="Arial"/>
                <w:color w:val="000000"/>
                <w:sz w:val="24"/>
                <w:szCs w:val="24"/>
                <w:lang w:val="sq-AL"/>
              </w:rPr>
              <w:t xml:space="preserve"> </w:t>
            </w:r>
          </w:p>
        </w:tc>
      </w:tr>
      <w:tr w14:paraId="5F81E1C4">
        <w:tblPrEx>
          <w:tblCellMar>
            <w:top w:w="0" w:type="dxa"/>
            <w:left w:w="108" w:type="dxa"/>
            <w:bottom w:w="0" w:type="dxa"/>
            <w:right w:w="108" w:type="dxa"/>
          </w:tblCellMar>
        </w:tblPrEx>
        <w:trPr>
          <w:jc w:val="center"/>
        </w:trPr>
        <w:tc>
          <w:tcPr>
            <w:tcW w:w="2120" w:type="dxa"/>
          </w:tcPr>
          <w:p w14:paraId="53C27DE0">
            <w:pPr>
              <w:pStyle w:val="112"/>
              <w:spacing w:before="0" w:after="200"/>
              <w:rPr>
                <w:rFonts w:ascii="Arial" w:hAnsi="Arial" w:cs="Arial"/>
                <w:sz w:val="20"/>
                <w:lang w:val="sq-AL"/>
              </w:rPr>
            </w:pPr>
            <w:bookmarkStart w:id="111" w:name="_Toc438438864"/>
            <w:bookmarkStart w:id="112" w:name="_Toc438532658"/>
            <w:bookmarkStart w:id="113" w:name="_Toc438734008"/>
            <w:bookmarkStart w:id="114" w:name="_Toc438907243"/>
            <w:bookmarkStart w:id="115" w:name="_Toc438907044"/>
            <w:bookmarkStart w:id="116" w:name="_Toc61936880"/>
            <w:r>
              <w:rPr>
                <w:rFonts w:ascii="Arial" w:hAnsi="Arial" w:cs="Arial"/>
                <w:sz w:val="20"/>
                <w:lang w:val="sq-AL"/>
              </w:rPr>
              <w:t xml:space="preserve">30. </w:t>
            </w:r>
            <w:r>
              <w:rPr>
                <w:rFonts w:ascii="Arial" w:hAnsi="Arial" w:cs="Arial"/>
                <w:bCs/>
                <w:sz w:val="20"/>
                <w:lang w:val="sq-AL"/>
              </w:rPr>
              <w:t>Kriteret e Dh</w:t>
            </w:r>
            <w:r>
              <w:rPr>
                <w:rStyle w:val="126"/>
                <w:rFonts w:ascii="Arial" w:hAnsi="Arial" w:cs="Arial"/>
                <w:color w:val="000000"/>
                <w:sz w:val="20"/>
                <w:lang w:val="sq-AL"/>
              </w:rPr>
              <w:t>ënies</w:t>
            </w:r>
            <w:bookmarkEnd w:id="111"/>
            <w:bookmarkEnd w:id="112"/>
            <w:bookmarkEnd w:id="113"/>
            <w:bookmarkEnd w:id="114"/>
            <w:bookmarkEnd w:id="115"/>
            <w:bookmarkEnd w:id="116"/>
            <w:r>
              <w:rPr>
                <w:rStyle w:val="126"/>
                <w:rFonts w:ascii="Arial" w:hAnsi="Arial" w:cs="Arial"/>
                <w:color w:val="000000"/>
                <w:sz w:val="20"/>
                <w:lang w:val="sq-AL"/>
              </w:rPr>
              <w:t xml:space="preserve"> se Kontratës</w:t>
            </w:r>
          </w:p>
        </w:tc>
        <w:tc>
          <w:tcPr>
            <w:tcW w:w="6405" w:type="dxa"/>
          </w:tcPr>
          <w:p w14:paraId="6763E42C">
            <w:pPr>
              <w:tabs>
                <w:tab w:val="left" w:pos="0"/>
              </w:tabs>
              <w:spacing w:after="0"/>
              <w:rPr>
                <w:rStyle w:val="126"/>
                <w:rFonts w:ascii="Arial" w:hAnsi="Arial" w:cs="Arial"/>
                <w:b/>
                <w:color w:val="000000"/>
                <w:sz w:val="20"/>
              </w:rPr>
            </w:pPr>
            <w:r>
              <w:rPr>
                <w:rFonts w:ascii="Arial" w:hAnsi="Arial" w:cs="Arial"/>
                <w:sz w:val="20"/>
              </w:rPr>
              <w:t xml:space="preserve">30.1 </w:t>
            </w:r>
            <w:r>
              <w:rPr>
                <w:rStyle w:val="126"/>
                <w:rFonts w:ascii="Arial" w:hAnsi="Arial" w:cs="Arial"/>
                <w:color w:val="000000"/>
                <w:sz w:val="20"/>
              </w:rPr>
              <w:t>Kontrata do te shpërblehet sipas kritereve për dhënien e kontratës siç</w:t>
            </w:r>
            <w:r>
              <w:rPr>
                <w:rStyle w:val="126"/>
                <w:rFonts w:ascii="Arial" w:hAnsi="Arial" w:cs="Arial"/>
                <w:b/>
                <w:color w:val="000000"/>
                <w:sz w:val="20"/>
              </w:rPr>
              <w:t xml:space="preserve"> </w:t>
            </w:r>
            <w:r>
              <w:rPr>
                <w:rStyle w:val="126"/>
                <w:rFonts w:ascii="Arial" w:hAnsi="Arial" w:cs="Arial"/>
                <w:color w:val="000000"/>
                <w:sz w:val="20"/>
              </w:rPr>
              <w:t xml:space="preserve">janë </w:t>
            </w:r>
            <w:r>
              <w:rPr>
                <w:rStyle w:val="126"/>
                <w:rFonts w:ascii="Arial" w:hAnsi="Arial" w:cs="Arial"/>
                <w:b/>
                <w:color w:val="000000"/>
                <w:sz w:val="20"/>
              </w:rPr>
              <w:t>shënuar në FDT</w:t>
            </w:r>
          </w:p>
          <w:p w14:paraId="7E35581A">
            <w:pPr>
              <w:tabs>
                <w:tab w:val="left" w:pos="0"/>
              </w:tabs>
              <w:spacing w:after="120"/>
              <w:rPr>
                <w:rFonts w:ascii="Arial" w:hAnsi="Arial" w:cs="Arial"/>
                <w:b/>
                <w:color w:val="000000"/>
                <w:sz w:val="20"/>
              </w:rPr>
            </w:pPr>
            <w:r>
              <w:rPr>
                <w:rStyle w:val="126"/>
                <w:rFonts w:ascii="Arial" w:hAnsi="Arial" w:cs="Arial"/>
                <w:b/>
                <w:color w:val="000000"/>
                <w:sz w:val="20"/>
              </w:rPr>
              <w:tab/>
            </w:r>
            <w:r>
              <w:rPr>
                <w:rStyle w:val="126"/>
                <w:rFonts w:ascii="Arial" w:hAnsi="Arial" w:cs="Arial"/>
                <w:b/>
                <w:color w:val="000000"/>
                <w:sz w:val="20"/>
              </w:rPr>
              <w:tab/>
            </w:r>
            <w:r>
              <w:rPr>
                <w:rStyle w:val="126"/>
                <w:rFonts w:ascii="Arial" w:hAnsi="Arial" w:cs="Arial"/>
                <w:b/>
                <w:color w:val="000000"/>
                <w:sz w:val="20"/>
              </w:rPr>
              <w:tab/>
            </w:r>
            <w:r>
              <w:rPr>
                <w:rStyle w:val="126"/>
                <w:rFonts w:ascii="Arial" w:hAnsi="Arial" w:cs="Arial"/>
                <w:b/>
                <w:color w:val="000000"/>
                <w:sz w:val="20"/>
              </w:rPr>
              <w:tab/>
            </w:r>
            <w:r>
              <w:rPr>
                <w:rStyle w:val="126"/>
                <w:rFonts w:ascii="Arial" w:hAnsi="Arial" w:cs="Arial"/>
                <w:b/>
                <w:color w:val="000000"/>
                <w:sz w:val="20"/>
              </w:rPr>
              <w:tab/>
            </w:r>
            <w:r>
              <w:rPr>
                <w:rStyle w:val="126"/>
                <w:rFonts w:ascii="Arial" w:hAnsi="Arial" w:cs="Arial"/>
                <w:b/>
                <w:color w:val="000000"/>
                <w:sz w:val="20"/>
              </w:rPr>
              <w:tab/>
            </w:r>
            <w:r>
              <w:rPr>
                <w:rStyle w:val="126"/>
                <w:rFonts w:ascii="Arial" w:hAnsi="Arial" w:cs="Arial"/>
                <w:b/>
                <w:color w:val="000000"/>
                <w:sz w:val="20"/>
              </w:rPr>
              <w:tab/>
            </w:r>
          </w:p>
        </w:tc>
      </w:tr>
      <w:tr w14:paraId="78B88DC9">
        <w:tblPrEx>
          <w:tblCellMar>
            <w:top w:w="0" w:type="dxa"/>
            <w:left w:w="108" w:type="dxa"/>
            <w:bottom w:w="0" w:type="dxa"/>
            <w:right w:w="108" w:type="dxa"/>
          </w:tblCellMar>
        </w:tblPrEx>
        <w:trPr>
          <w:jc w:val="center"/>
        </w:trPr>
        <w:tc>
          <w:tcPr>
            <w:tcW w:w="2120" w:type="dxa"/>
            <w:tcBorders>
              <w:bottom w:val="nil"/>
            </w:tcBorders>
          </w:tcPr>
          <w:p w14:paraId="14BF1404">
            <w:pPr>
              <w:pStyle w:val="112"/>
              <w:spacing w:before="0" w:after="200"/>
              <w:rPr>
                <w:rFonts w:ascii="Arial" w:hAnsi="Arial" w:cs="Arial"/>
                <w:sz w:val="20"/>
                <w:lang w:val="sq-AL"/>
              </w:rPr>
            </w:pPr>
            <w:r>
              <w:rPr>
                <w:rFonts w:ascii="Arial" w:hAnsi="Arial" w:cs="Arial"/>
                <w:sz w:val="20"/>
                <w:lang w:val="sq-AL"/>
              </w:rPr>
              <w:t xml:space="preserve">31. </w:t>
            </w:r>
            <w:r>
              <w:rPr>
                <w:rStyle w:val="126"/>
                <w:rFonts w:ascii="Arial" w:hAnsi="Arial" w:cs="Arial"/>
                <w:color w:val="000000"/>
                <w:sz w:val="20"/>
                <w:lang w:val="sq-AL"/>
              </w:rPr>
              <w:t>Ankesat</w:t>
            </w:r>
          </w:p>
        </w:tc>
        <w:tc>
          <w:tcPr>
            <w:tcW w:w="6405" w:type="dxa"/>
          </w:tcPr>
          <w:p w14:paraId="016FA1F1">
            <w:pPr>
              <w:tabs>
                <w:tab w:val="left" w:pos="0"/>
              </w:tabs>
              <w:spacing w:after="120"/>
              <w:rPr>
                <w:rFonts w:ascii="Arial" w:hAnsi="Arial" w:cs="Arial"/>
                <w:sz w:val="20"/>
              </w:rPr>
            </w:pPr>
            <w:r>
              <w:rPr>
                <w:rFonts w:ascii="Arial" w:hAnsi="Arial" w:cs="Arial"/>
                <w:sz w:val="20"/>
              </w:rPr>
              <w:t xml:space="preserve">31.1 Sipas Nenit 108/A te Ligjit Nr. </w:t>
            </w:r>
            <w:r>
              <w:rPr>
                <w:rFonts w:cs="Arial"/>
                <w:sz w:val="20"/>
              </w:rPr>
              <w:t xml:space="preserve"> </w:t>
            </w:r>
            <w:r>
              <w:rPr>
                <w:rFonts w:ascii="Arial" w:hAnsi="Arial" w:cs="Arial"/>
                <w:sz w:val="20"/>
              </w:rPr>
              <w:t>04/L-042 për Prokurimin Publik të Republikës se Kosovës, i ndryshuar dhe plotësuar me ligjin Nr. 04/L-237, ligjin Nr. 05/L-068 dhe ligjin Nr.</w:t>
            </w:r>
            <w:r>
              <w:rPr>
                <w:i/>
                <w:iCs/>
              </w:rPr>
              <w:t xml:space="preserve"> </w:t>
            </w:r>
            <w:r>
              <w:rPr>
                <w:rFonts w:ascii="Arial" w:hAnsi="Arial" w:cs="Arial"/>
                <w:sz w:val="20"/>
              </w:rPr>
              <w:t>05/L-092,</w:t>
            </w:r>
            <w:r>
              <w:rPr>
                <w:i/>
                <w:iCs/>
              </w:rPr>
              <w:t xml:space="preserve"> </w:t>
            </w:r>
            <w:r>
              <w:rPr>
                <w:rFonts w:ascii="Arial" w:hAnsi="Arial" w:cs="Arial"/>
                <w:sz w:val="20"/>
              </w:rPr>
              <w:t xml:space="preserve">ankesa mund të dorëzohet, pa pagese, nga cilado palë e interesuar në </w:t>
            </w:r>
            <w:r>
              <w:rPr>
                <w:rFonts w:ascii="Arial" w:hAnsi="Arial" w:cs="Arial"/>
                <w:sz w:val="20"/>
                <w:u w:val="single"/>
              </w:rPr>
              <w:t>çdo fazë</w:t>
            </w:r>
            <w:r>
              <w:rPr>
                <w:rFonts w:ascii="Arial" w:hAnsi="Arial" w:cs="Arial"/>
                <w:sz w:val="20"/>
              </w:rPr>
              <w:t xml:space="preserve"> të aktivitetit të prokurimit dhe në lidhje me çfarëdo aktiviteti ose lëshimi të autoritetit kontraktues që supozohet të ketë bërë shkelje në ligjin aktual, apo akteve të nxjerra në zbatim të tij.</w:t>
            </w:r>
          </w:p>
          <w:p w14:paraId="32A44EC7">
            <w:pPr>
              <w:tabs>
                <w:tab w:val="left" w:pos="0"/>
              </w:tabs>
              <w:spacing w:after="0"/>
              <w:rPr>
                <w:rFonts w:ascii="Arial" w:hAnsi="Arial" w:cs="Arial"/>
                <w:color w:val="000000"/>
                <w:sz w:val="20"/>
              </w:rPr>
            </w:pPr>
            <w:r>
              <w:rPr>
                <w:rStyle w:val="126"/>
                <w:rFonts w:ascii="Arial" w:hAnsi="Arial" w:cs="Arial"/>
                <w:color w:val="000000"/>
                <w:sz w:val="20"/>
              </w:rPr>
              <w:t>31.2</w:t>
            </w:r>
            <w:r>
              <w:rPr>
                <w:rFonts w:ascii="Arial" w:hAnsi="Arial" w:cs="Arial"/>
                <w:color w:val="000000"/>
                <w:sz w:val="20"/>
              </w:rPr>
              <w:t xml:space="preserve"> F</w:t>
            </w:r>
            <w:r>
              <w:rPr>
                <w:rStyle w:val="126"/>
                <w:rFonts w:ascii="Arial" w:hAnsi="Arial" w:cs="Arial"/>
                <w:color w:val="000000"/>
                <w:sz w:val="20"/>
              </w:rPr>
              <w:t>orma</w:t>
            </w:r>
            <w:r>
              <w:rPr>
                <w:rFonts w:ascii="Arial" w:hAnsi="Arial" w:cs="Arial"/>
                <w:color w:val="000000"/>
                <w:sz w:val="20"/>
              </w:rPr>
              <w:t xml:space="preserve"> s</w:t>
            </w:r>
            <w:r>
              <w:rPr>
                <w:rStyle w:val="126"/>
                <w:rFonts w:ascii="Arial" w:hAnsi="Arial" w:cs="Arial"/>
                <w:color w:val="000000"/>
                <w:sz w:val="20"/>
              </w:rPr>
              <w:t>tandarde e</w:t>
            </w:r>
            <w:r>
              <w:rPr>
                <w:rFonts w:ascii="Arial" w:hAnsi="Arial" w:cs="Arial"/>
                <w:color w:val="000000"/>
                <w:sz w:val="20"/>
              </w:rPr>
              <w:t xml:space="preserve"> </w:t>
            </w:r>
            <w:r>
              <w:rPr>
                <w:rStyle w:val="126"/>
                <w:rFonts w:ascii="Arial" w:hAnsi="Arial" w:cs="Arial"/>
                <w:color w:val="000000"/>
                <w:sz w:val="20"/>
              </w:rPr>
              <w:t>ankesës</w:t>
            </w:r>
            <w:r>
              <w:rPr>
                <w:rFonts w:ascii="Arial" w:hAnsi="Arial" w:cs="Arial"/>
                <w:color w:val="000000"/>
                <w:sz w:val="20"/>
              </w:rPr>
              <w:t xml:space="preserve"> </w:t>
            </w:r>
            <w:r>
              <w:rPr>
                <w:rStyle w:val="126"/>
                <w:rFonts w:ascii="Arial" w:hAnsi="Arial" w:cs="Arial"/>
                <w:color w:val="000000"/>
                <w:sz w:val="20"/>
              </w:rPr>
              <w:t>mund</w:t>
            </w:r>
            <w:r>
              <w:rPr>
                <w:rFonts w:ascii="Arial" w:hAnsi="Arial" w:cs="Arial"/>
                <w:color w:val="000000"/>
                <w:sz w:val="20"/>
              </w:rPr>
              <w:t xml:space="preserve"> </w:t>
            </w:r>
            <w:r>
              <w:rPr>
                <w:rStyle w:val="126"/>
                <w:rFonts w:ascii="Arial" w:hAnsi="Arial" w:cs="Arial"/>
                <w:color w:val="000000"/>
                <w:sz w:val="20"/>
              </w:rPr>
              <w:t>të</w:t>
            </w:r>
            <w:r>
              <w:rPr>
                <w:rFonts w:ascii="Arial" w:hAnsi="Arial" w:cs="Arial"/>
                <w:color w:val="000000"/>
                <w:sz w:val="20"/>
              </w:rPr>
              <w:t xml:space="preserve"> </w:t>
            </w:r>
            <w:r>
              <w:rPr>
                <w:rStyle w:val="126"/>
                <w:rFonts w:ascii="Arial" w:hAnsi="Arial" w:cs="Arial"/>
                <w:color w:val="000000"/>
                <w:sz w:val="20"/>
              </w:rPr>
              <w:t>shkarkohet</w:t>
            </w:r>
            <w:r>
              <w:rPr>
                <w:rFonts w:ascii="Arial" w:hAnsi="Arial" w:cs="Arial"/>
                <w:color w:val="000000"/>
                <w:sz w:val="20"/>
              </w:rPr>
              <w:t xml:space="preserve"> </w:t>
            </w:r>
            <w:r>
              <w:rPr>
                <w:rStyle w:val="126"/>
                <w:rFonts w:ascii="Arial" w:hAnsi="Arial" w:cs="Arial"/>
                <w:color w:val="000000"/>
                <w:sz w:val="20"/>
              </w:rPr>
              <w:t>nga</w:t>
            </w:r>
            <w:r>
              <w:rPr>
                <w:rFonts w:ascii="Arial" w:hAnsi="Arial" w:cs="Arial"/>
                <w:color w:val="000000"/>
                <w:sz w:val="20"/>
              </w:rPr>
              <w:t xml:space="preserve"> </w:t>
            </w:r>
            <w:r>
              <w:rPr>
                <w:rStyle w:val="126"/>
                <w:rFonts w:ascii="Arial" w:hAnsi="Arial" w:cs="Arial"/>
                <w:color w:val="000000"/>
                <w:sz w:val="20"/>
              </w:rPr>
              <w:t>faqet e internetit të</w:t>
            </w:r>
            <w:r>
              <w:rPr>
                <w:rFonts w:ascii="Arial" w:hAnsi="Arial" w:cs="Arial"/>
                <w:color w:val="000000"/>
                <w:sz w:val="20"/>
              </w:rPr>
              <w:t xml:space="preserve"> </w:t>
            </w:r>
            <w:r>
              <w:rPr>
                <w:rStyle w:val="126"/>
                <w:rFonts w:ascii="Arial" w:hAnsi="Arial" w:cs="Arial"/>
                <w:color w:val="000000"/>
                <w:sz w:val="20"/>
              </w:rPr>
              <w:t>KRPP-</w:t>
            </w:r>
            <w:r>
              <w:rPr>
                <w:rFonts w:ascii="Arial" w:hAnsi="Arial" w:cs="Arial"/>
                <w:color w:val="000000"/>
                <w:sz w:val="20"/>
              </w:rPr>
              <w:t xml:space="preserve">së </w:t>
            </w:r>
            <w:r>
              <w:rPr>
                <w:rStyle w:val="126"/>
                <w:rFonts w:ascii="Arial" w:hAnsi="Arial" w:cs="Arial"/>
                <w:color w:val="000000"/>
                <w:sz w:val="20"/>
              </w:rPr>
              <w:t>ose</w:t>
            </w:r>
            <w:r>
              <w:rPr>
                <w:rFonts w:ascii="Arial" w:hAnsi="Arial" w:cs="Arial"/>
                <w:color w:val="000000"/>
                <w:sz w:val="20"/>
              </w:rPr>
              <w:t xml:space="preserve"> </w:t>
            </w:r>
            <w:r>
              <w:rPr>
                <w:rStyle w:val="126"/>
                <w:rFonts w:ascii="Arial" w:hAnsi="Arial" w:cs="Arial"/>
                <w:color w:val="000000"/>
                <w:sz w:val="20"/>
              </w:rPr>
              <w:t>OSHP</w:t>
            </w:r>
            <w:r>
              <w:rPr>
                <w:rFonts w:ascii="Arial" w:hAnsi="Arial" w:cs="Arial"/>
                <w:color w:val="000000"/>
                <w:sz w:val="20"/>
              </w:rPr>
              <w:t xml:space="preserve">-së: </w:t>
            </w:r>
            <w:r>
              <w:fldChar w:fldCharType="begin"/>
            </w:r>
            <w:r>
              <w:instrText xml:space="preserve"> HYPERLINK "http://www.krpp.rks-gov.net" </w:instrText>
            </w:r>
            <w:r>
              <w:fldChar w:fldCharType="separate"/>
            </w:r>
            <w:r>
              <w:rPr>
                <w:rStyle w:val="44"/>
                <w:rFonts w:ascii="Arial" w:hAnsi="Arial" w:cs="Arial"/>
                <w:b/>
                <w:sz w:val="20"/>
              </w:rPr>
              <w:t>www.krpp.rks-gov.net</w:t>
            </w:r>
            <w:r>
              <w:rPr>
                <w:rStyle w:val="44"/>
                <w:rFonts w:ascii="Arial" w:hAnsi="Arial" w:cs="Arial"/>
                <w:b/>
                <w:sz w:val="20"/>
              </w:rPr>
              <w:fldChar w:fldCharType="end"/>
            </w:r>
            <w:r>
              <w:rPr>
                <w:rFonts w:ascii="Arial" w:hAnsi="Arial" w:cs="Arial"/>
                <w:b/>
                <w:sz w:val="20"/>
              </w:rPr>
              <w:t xml:space="preserve"> </w:t>
            </w:r>
            <w:r>
              <w:rPr>
                <w:rStyle w:val="126"/>
                <w:rFonts w:ascii="Arial" w:hAnsi="Arial" w:cs="Arial"/>
                <w:color w:val="000000"/>
                <w:sz w:val="20"/>
              </w:rPr>
              <w:t>ose</w:t>
            </w:r>
            <w:r>
              <w:rPr>
                <w:rFonts w:ascii="Arial" w:hAnsi="Arial" w:cs="Arial"/>
                <w:color w:val="000000"/>
                <w:sz w:val="20"/>
              </w:rPr>
              <w:t xml:space="preserve"> </w:t>
            </w:r>
            <w:r>
              <w:fldChar w:fldCharType="begin"/>
            </w:r>
            <w:r>
              <w:instrText xml:space="preserve"> HYPERLINK "http://www.oshp.rks-gov.net" </w:instrText>
            </w:r>
            <w:r>
              <w:fldChar w:fldCharType="separate"/>
            </w:r>
            <w:r>
              <w:rPr>
                <w:rStyle w:val="44"/>
                <w:rFonts w:ascii="Arial" w:hAnsi="Arial" w:cs="Arial"/>
                <w:b/>
                <w:sz w:val="20"/>
              </w:rPr>
              <w:t>www.oshp.rks-gov.net</w:t>
            </w:r>
            <w:r>
              <w:rPr>
                <w:rStyle w:val="44"/>
                <w:rFonts w:ascii="Arial" w:hAnsi="Arial" w:cs="Arial"/>
                <w:b/>
                <w:sz w:val="20"/>
              </w:rPr>
              <w:fldChar w:fldCharType="end"/>
            </w:r>
            <w:r>
              <w:rPr>
                <w:rFonts w:ascii="Arial" w:hAnsi="Arial" w:cs="Arial"/>
                <w:b/>
                <w:sz w:val="20"/>
              </w:rPr>
              <w:t>.</w:t>
            </w:r>
            <w:r>
              <w:rPr>
                <w:rFonts w:ascii="Arial" w:hAnsi="Arial" w:cs="Arial"/>
                <w:color w:val="000000"/>
                <w:sz w:val="20"/>
              </w:rPr>
              <w:t>.</w:t>
            </w:r>
          </w:p>
          <w:p w14:paraId="646EF2EC">
            <w:pPr>
              <w:spacing w:after="0"/>
              <w:ind w:left="2380" w:firstLine="5"/>
              <w:textAlignment w:val="top"/>
              <w:rPr>
                <w:rFonts w:ascii="Arial" w:hAnsi="Arial" w:cs="Arial"/>
                <w:color w:val="000000"/>
                <w:sz w:val="20"/>
                <w:lang w:eastAsia="en-US"/>
              </w:rPr>
            </w:pPr>
          </w:p>
          <w:p w14:paraId="0F6A29C8">
            <w:pPr>
              <w:spacing w:after="0"/>
              <w:textAlignment w:val="top"/>
              <w:rPr>
                <w:rFonts w:ascii="Arial" w:hAnsi="Arial" w:cs="Arial"/>
                <w:color w:val="000000"/>
                <w:sz w:val="20"/>
                <w:lang w:eastAsia="en-US"/>
              </w:rPr>
            </w:pPr>
            <w:r>
              <w:rPr>
                <w:rFonts w:ascii="Arial" w:hAnsi="Arial" w:cs="Arial"/>
                <w:color w:val="000000"/>
                <w:sz w:val="20"/>
                <w:lang w:eastAsia="en-US"/>
              </w:rPr>
              <w:t xml:space="preserve">31.3 </w:t>
            </w:r>
            <w:r>
              <w:rPr>
                <w:rFonts w:ascii="Arial" w:hAnsi="Arial" w:cs="Arial"/>
                <w:sz w:val="20"/>
              </w:rPr>
              <w:t xml:space="preserve">Ankesat duhet të dorëzohen në origjinal te Autoriteti Kontraktues, </w:t>
            </w:r>
            <w:r>
              <w:rPr>
                <w:rFonts w:ascii="Arial" w:hAnsi="Arial" w:cs="Arial"/>
                <w:color w:val="000000"/>
                <w:sz w:val="20"/>
                <w:lang w:eastAsia="en-US"/>
              </w:rPr>
              <w:t xml:space="preserve">në adresën </w:t>
            </w:r>
            <w:r>
              <w:rPr>
                <w:rFonts w:ascii="Arial" w:hAnsi="Arial" w:cs="Arial"/>
                <w:sz w:val="20"/>
              </w:rPr>
              <w:t xml:space="preserve">e specifikuar </w:t>
            </w:r>
            <w:r>
              <w:rPr>
                <w:rStyle w:val="126"/>
                <w:rFonts w:ascii="Arial" w:hAnsi="Arial" w:cs="Arial"/>
                <w:b/>
                <w:color w:val="000000"/>
                <w:sz w:val="20"/>
              </w:rPr>
              <w:t>në FDT</w:t>
            </w:r>
            <w:r>
              <w:rPr>
                <w:rFonts w:ascii="Arial" w:hAnsi="Arial" w:cs="Arial"/>
                <w:color w:val="000000"/>
                <w:sz w:val="20"/>
                <w:lang w:eastAsia="en-US"/>
              </w:rPr>
              <w:t>.</w:t>
            </w:r>
          </w:p>
          <w:p w14:paraId="76D197F3">
            <w:pPr>
              <w:spacing w:after="0"/>
              <w:rPr>
                <w:rFonts w:ascii="Arial" w:hAnsi="Arial" w:cs="Arial"/>
                <w:sz w:val="20"/>
              </w:rPr>
            </w:pPr>
          </w:p>
          <w:p w14:paraId="61BF2B41">
            <w:pPr>
              <w:pStyle w:val="114"/>
              <w:numPr>
                <w:ilvl w:val="0"/>
                <w:numId w:val="20"/>
              </w:numPr>
              <w:rPr>
                <w:rFonts w:ascii="Arial" w:hAnsi="Arial" w:cs="Arial"/>
                <w:sz w:val="20"/>
              </w:rPr>
            </w:pPr>
            <w:r>
              <w:rPr>
                <w:rFonts w:ascii="Arial" w:hAnsi="Arial" w:cs="Arial"/>
                <w:sz w:val="20"/>
              </w:rPr>
              <w:t>Kurdo qe ankesa ka te beje me njoftimin e kontratës ose me dokumentet e tenderit brenda pesë (5) ditëve para afatit të fundit për dorëzim të ofertave.</w:t>
            </w:r>
          </w:p>
          <w:p w14:paraId="7DEB3EB1">
            <w:pPr>
              <w:spacing w:after="0"/>
              <w:rPr>
                <w:rFonts w:ascii="Arial" w:hAnsi="Arial" w:cs="Arial"/>
                <w:sz w:val="20"/>
              </w:rPr>
            </w:pPr>
          </w:p>
          <w:p w14:paraId="44D10396">
            <w:pPr>
              <w:pStyle w:val="114"/>
              <w:numPr>
                <w:ilvl w:val="0"/>
                <w:numId w:val="20"/>
              </w:numPr>
              <w:rPr>
                <w:rFonts w:ascii="Arial" w:hAnsi="Arial" w:cs="Arial"/>
                <w:sz w:val="20"/>
              </w:rPr>
            </w:pPr>
            <w:r>
              <w:rPr>
                <w:rFonts w:ascii="Arial" w:hAnsi="Arial" w:cs="Arial"/>
                <w:sz w:val="20"/>
              </w:rPr>
              <w:t>Kurdo qe ankesa ka te beje me vendimin për dhënie të një kontratë brenda afatit prej pesë (5) ditëve pas datës së njoftimit për dhënien e kontratës që i është dërguar ankuesit.</w:t>
            </w:r>
          </w:p>
          <w:p w14:paraId="218371ED">
            <w:pPr>
              <w:spacing w:after="0"/>
              <w:rPr>
                <w:rFonts w:ascii="Arial" w:hAnsi="Arial" w:cs="Arial"/>
                <w:sz w:val="20"/>
              </w:rPr>
            </w:pPr>
          </w:p>
          <w:p w14:paraId="4AB6622B">
            <w:pPr>
              <w:pStyle w:val="114"/>
              <w:numPr>
                <w:ilvl w:val="0"/>
                <w:numId w:val="20"/>
              </w:numPr>
              <w:rPr>
                <w:rFonts w:ascii="Arial" w:hAnsi="Arial" w:cs="Arial"/>
                <w:sz w:val="20"/>
              </w:rPr>
            </w:pPr>
            <w:r>
              <w:rPr>
                <w:rFonts w:ascii="Arial" w:hAnsi="Arial" w:cs="Arial"/>
                <w:sz w:val="20"/>
              </w:rPr>
              <w:t>Kurdo qe ankesa ka te beje me vendimin për anulimin e procedurës së prokurimit, brenda pesë (5) ditëve nga data kur aktiviteti I prokurimit është anuluar zyrtarisht përmes njoftimit për anulim.</w:t>
            </w:r>
          </w:p>
          <w:p w14:paraId="51E0F9FD">
            <w:pPr>
              <w:spacing w:after="0"/>
              <w:textAlignment w:val="top"/>
              <w:rPr>
                <w:rFonts w:ascii="Arial" w:hAnsi="Arial" w:cs="Arial"/>
                <w:color w:val="000000"/>
                <w:sz w:val="20"/>
                <w:lang w:eastAsia="en-US"/>
              </w:rPr>
            </w:pPr>
            <w:r>
              <w:rPr>
                <w:rFonts w:ascii="Arial" w:hAnsi="Arial" w:cs="Arial"/>
                <w:color w:val="000000"/>
                <w:sz w:val="20"/>
                <w:lang w:eastAsia="en-US"/>
              </w:rPr>
              <w:t>.</w:t>
            </w:r>
          </w:p>
          <w:p w14:paraId="3EE34E1B">
            <w:pPr>
              <w:spacing w:after="0"/>
              <w:ind w:left="2380" w:firstLine="5"/>
              <w:textAlignment w:val="top"/>
              <w:rPr>
                <w:rFonts w:ascii="Arial" w:hAnsi="Arial" w:cs="Arial"/>
                <w:color w:val="000000"/>
                <w:sz w:val="20"/>
                <w:lang w:eastAsia="en-US"/>
              </w:rPr>
            </w:pPr>
          </w:p>
          <w:p w14:paraId="31382A91">
            <w:pPr>
              <w:autoSpaceDE w:val="0"/>
              <w:autoSpaceDN w:val="0"/>
              <w:adjustRightInd w:val="0"/>
              <w:spacing w:after="0"/>
              <w:rPr>
                <w:rFonts w:ascii="Arial" w:hAnsi="Arial" w:cs="Arial"/>
                <w:sz w:val="20"/>
              </w:rPr>
            </w:pPr>
            <w:r>
              <w:rPr>
                <w:rFonts w:ascii="Arial" w:hAnsi="Arial" w:cs="Arial"/>
                <w:sz w:val="20"/>
              </w:rPr>
              <w:t>31.4 Kundër çdo vendimi të marrë nga autoriteti kontraktues në përputhje me rrethanat e nenit 108/A çdo palë e interesuar mund të parashtrojë ankesë pranë OSHP-së. Ankesa duhet të dorëzohet vetëm pas udhëheqjes së një procedure paraprake për zgjidhje të mosmarrëveshjes.</w:t>
            </w:r>
          </w:p>
          <w:p w14:paraId="52C5BE76">
            <w:pPr>
              <w:autoSpaceDE w:val="0"/>
              <w:autoSpaceDN w:val="0"/>
              <w:adjustRightInd w:val="0"/>
              <w:spacing w:after="0"/>
              <w:rPr>
                <w:rFonts w:ascii="Arial" w:hAnsi="Arial" w:cs="Arial"/>
                <w:color w:val="000000"/>
                <w:sz w:val="20"/>
              </w:rPr>
            </w:pPr>
          </w:p>
          <w:p w14:paraId="0728A124">
            <w:pPr>
              <w:autoSpaceDE w:val="0"/>
              <w:autoSpaceDN w:val="0"/>
              <w:adjustRightInd w:val="0"/>
              <w:spacing w:after="0"/>
              <w:rPr>
                <w:rFonts w:ascii="Arial" w:hAnsi="Arial" w:cs="Arial"/>
                <w:color w:val="000000"/>
                <w:sz w:val="20"/>
              </w:rPr>
            </w:pPr>
            <w:r>
              <w:rPr>
                <w:rFonts w:ascii="Arial" w:hAnsi="Arial" w:cs="Arial"/>
                <w:sz w:val="20"/>
              </w:rPr>
              <w:t>Ankesa pranë OSHP-së duhet të dorëzohen brenda dhjetë (10) ditëve pas vendimit të lëshuar nga autoriteti kontraktues në procedurën paraprake të zgjidhjes së mosmarrëveshjes në përputhje me nenin 108/A të këtij ligji.</w:t>
            </w:r>
          </w:p>
          <w:p w14:paraId="3CBAA79D">
            <w:pPr>
              <w:spacing w:after="0"/>
              <w:textAlignment w:val="top"/>
              <w:rPr>
                <w:rFonts w:ascii="Arial" w:hAnsi="Arial" w:cs="Arial"/>
                <w:sz w:val="20"/>
              </w:rPr>
            </w:pPr>
            <w:r>
              <w:rPr>
                <w:rFonts w:ascii="Arial" w:hAnsi="Arial" w:cs="Arial"/>
                <w:sz w:val="20"/>
              </w:rPr>
              <w:t>.</w:t>
            </w:r>
          </w:p>
          <w:p w14:paraId="5FBCFB17">
            <w:pPr>
              <w:spacing w:after="0"/>
              <w:textAlignment w:val="top"/>
              <w:rPr>
                <w:rFonts w:ascii="Arial" w:hAnsi="Arial" w:cs="Arial"/>
                <w:color w:val="000000"/>
                <w:sz w:val="20"/>
                <w:shd w:val="clear" w:color="auto" w:fill="FFFFFF"/>
                <w:lang w:eastAsia="en-US"/>
              </w:rPr>
            </w:pPr>
          </w:p>
          <w:p w14:paraId="6FF97F03">
            <w:pPr>
              <w:spacing w:after="0"/>
              <w:textAlignment w:val="top"/>
              <w:rPr>
                <w:rFonts w:ascii="Arial" w:hAnsi="Arial" w:cs="Arial"/>
                <w:color w:val="000000"/>
                <w:sz w:val="20"/>
                <w:shd w:val="clear" w:color="auto" w:fill="FFFFFF"/>
                <w:lang w:eastAsia="en-US"/>
              </w:rPr>
            </w:pPr>
            <w:r>
              <w:rPr>
                <w:rFonts w:ascii="Arial" w:hAnsi="Arial" w:cs="Arial"/>
                <w:color w:val="000000"/>
                <w:sz w:val="20"/>
                <w:lang w:eastAsia="en-US"/>
              </w:rPr>
              <w:t>31.5 Të gjitha ankuesit duhet të paguajnë një tarifë për ankese ne shumë e paraparë së bashku me paraqitjen e një ankese ne OSHP. Pagesa do të bëhet në para të gatshme ose të holla ekuivalente në llogarinë e krijuara nga OSHP-ja.</w:t>
            </w:r>
          </w:p>
          <w:p w14:paraId="518A983D">
            <w:pPr>
              <w:spacing w:after="0"/>
              <w:ind w:left="2380"/>
              <w:textAlignment w:val="top"/>
              <w:rPr>
                <w:rFonts w:ascii="Arial" w:hAnsi="Arial" w:cs="Arial"/>
                <w:color w:val="000000"/>
                <w:sz w:val="20"/>
                <w:shd w:val="clear" w:color="auto" w:fill="FFFFFF"/>
                <w:lang w:eastAsia="en-US"/>
              </w:rPr>
            </w:pPr>
          </w:p>
          <w:p w14:paraId="4CFF49A1">
            <w:pPr>
              <w:rPr>
                <w:rFonts w:ascii="Arial" w:hAnsi="Arial" w:cs="Arial"/>
                <w:sz w:val="20"/>
              </w:rPr>
            </w:pPr>
            <w:r>
              <w:rPr>
                <w:rFonts w:ascii="Arial" w:hAnsi="Arial" w:cs="Arial"/>
                <w:color w:val="000000"/>
                <w:sz w:val="20"/>
                <w:shd w:val="clear" w:color="auto" w:fill="FFFFFF"/>
                <w:lang w:eastAsia="en-US"/>
              </w:rPr>
              <w:t>31.6 Për procedura të mëtutjeshme rreth ankesave referohuni ne  LPP dhe ne Rregullat e Prokurimit.</w:t>
            </w:r>
          </w:p>
        </w:tc>
      </w:tr>
    </w:tbl>
    <w:p w14:paraId="3546CCCA">
      <w:pPr>
        <w:pStyle w:val="2"/>
        <w:rPr>
          <w:rFonts w:ascii="Times New Roman" w:hAnsi="Times New Roman"/>
          <w:sz w:val="22"/>
          <w:szCs w:val="22"/>
        </w:rPr>
      </w:pPr>
    </w:p>
    <w:p w14:paraId="1D005826">
      <w:pPr>
        <w:rPr>
          <w:lang w:val="en-GB"/>
        </w:rPr>
      </w:pPr>
    </w:p>
    <w:p w14:paraId="5B577570">
      <w:pPr>
        <w:rPr>
          <w:lang w:val="en-GB"/>
        </w:rPr>
      </w:pPr>
    </w:p>
    <w:p w14:paraId="702A9622">
      <w:pPr>
        <w:rPr>
          <w:lang w:val="en-GB"/>
        </w:rPr>
      </w:pPr>
    </w:p>
    <w:p w14:paraId="0AC64AAE">
      <w:pPr>
        <w:rPr>
          <w:lang w:val="en-GB"/>
        </w:rPr>
      </w:pPr>
    </w:p>
    <w:p w14:paraId="4C0141F1">
      <w:pPr>
        <w:rPr>
          <w:lang w:val="en-GB"/>
        </w:rPr>
      </w:pPr>
    </w:p>
    <w:p w14:paraId="5B713C03">
      <w:pPr>
        <w:rPr>
          <w:lang w:val="en-GB"/>
        </w:rPr>
      </w:pPr>
    </w:p>
    <w:p w14:paraId="15AE8407">
      <w:pPr>
        <w:rPr>
          <w:lang w:val="en-GB"/>
        </w:rPr>
      </w:pPr>
    </w:p>
    <w:p w14:paraId="532E33AD">
      <w:pPr>
        <w:rPr>
          <w:lang w:val="en-GB"/>
        </w:rPr>
      </w:pPr>
    </w:p>
    <w:p w14:paraId="63566E9C">
      <w:pPr>
        <w:pStyle w:val="2"/>
        <w:rPr>
          <w:rFonts w:ascii="Times New Roman" w:hAnsi="Times New Roman"/>
          <w:sz w:val="22"/>
          <w:szCs w:val="22"/>
        </w:rPr>
      </w:pPr>
      <w:r>
        <w:rPr>
          <w:rFonts w:ascii="Times New Roman" w:hAnsi="Times New Roman"/>
          <w:sz w:val="22"/>
          <w:szCs w:val="22"/>
        </w:rPr>
        <w:t>Seksioni II.  Fleta e të Dhënavetë Tenderit (FDT)</w:t>
      </w:r>
      <w:bookmarkEnd w:id="1"/>
    </w:p>
    <w:p w14:paraId="05DE4E43">
      <w:pPr>
        <w:suppressAutoHyphens/>
        <w:spacing w:after="0"/>
        <w:rPr>
          <w:b/>
          <w:bCs/>
          <w:kern w:val="32"/>
          <w:sz w:val="22"/>
          <w:szCs w:val="22"/>
        </w:rPr>
      </w:pPr>
    </w:p>
    <w:p w14:paraId="3C6D0FEB">
      <w:pPr>
        <w:suppressAutoHyphens/>
        <w:spacing w:after="0"/>
        <w:rPr>
          <w:sz w:val="22"/>
          <w:szCs w:val="22"/>
        </w:rPr>
      </w:pPr>
      <w:r>
        <w:rPr>
          <w:sz w:val="22"/>
          <w:szCs w:val="22"/>
        </w:rPr>
        <w:t>Të dhënat e mëposhtme për mallrat që do të prokurohen do te plotësojnë, shtojnë, ose ndryshojnë dispozitat e Informatave për Tenderuesin. Kurdo qe paraqitet ndonjë mospërputhje, këto dispozita do të mbizotërojnë mbi ato ne Informata për Tenderuesit.</w:t>
      </w:r>
    </w:p>
    <w:p w14:paraId="3F089153">
      <w:pPr>
        <w:suppressAutoHyphens/>
        <w:spacing w:after="0"/>
        <w:rPr>
          <w:i/>
          <w:iCs/>
          <w:sz w:val="22"/>
          <w:szCs w:val="22"/>
        </w:rPr>
      </w:pPr>
    </w:p>
    <w:tbl>
      <w:tblPr>
        <w:tblStyle w:val="12"/>
        <w:tblW w:w="1035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900"/>
        <w:gridCol w:w="7267"/>
      </w:tblGrid>
      <w:tr w14:paraId="7A4E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83" w:type="dxa"/>
            <w:gridSpan w:val="2"/>
          </w:tcPr>
          <w:p w14:paraId="46BBE6A8">
            <w:pPr>
              <w:pStyle w:val="15"/>
              <w:rPr>
                <w:sz w:val="22"/>
                <w:szCs w:val="22"/>
                <w:lang w:val="sq-AL"/>
              </w:rPr>
            </w:pPr>
            <w:r>
              <w:rPr>
                <w:sz w:val="22"/>
                <w:szCs w:val="22"/>
                <w:lang w:val="sq-AL"/>
              </w:rPr>
              <w:t>Udhëzimet për Tenderuesit</w:t>
            </w:r>
          </w:p>
        </w:tc>
        <w:tc>
          <w:tcPr>
            <w:tcW w:w="7267" w:type="dxa"/>
          </w:tcPr>
          <w:p w14:paraId="318C9C24">
            <w:pPr>
              <w:spacing w:after="120"/>
              <w:jc w:val="left"/>
              <w:rPr>
                <w:sz w:val="22"/>
                <w:szCs w:val="22"/>
              </w:rPr>
            </w:pPr>
            <w:r>
              <w:rPr>
                <w:sz w:val="22"/>
                <w:szCs w:val="22"/>
              </w:rPr>
              <w:t>Përmirësimet/Ndryshimet e Neneve relevante te Informatave për Tenderuesve</w:t>
            </w:r>
          </w:p>
        </w:tc>
      </w:tr>
      <w:tr w14:paraId="13B3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2183" w:type="dxa"/>
          </w:tcPr>
          <w:p w14:paraId="3D2D325C">
            <w:pPr>
              <w:pStyle w:val="15"/>
              <w:spacing w:after="0"/>
              <w:rPr>
                <w:sz w:val="22"/>
                <w:szCs w:val="22"/>
                <w:lang w:val="sq-AL"/>
              </w:rPr>
            </w:pPr>
            <w:r>
              <w:rPr>
                <w:sz w:val="22"/>
                <w:szCs w:val="22"/>
                <w:lang w:val="sq-AL"/>
              </w:rPr>
              <w:t>Përshkrimi i Nenit</w:t>
            </w:r>
          </w:p>
        </w:tc>
        <w:tc>
          <w:tcPr>
            <w:tcW w:w="900" w:type="dxa"/>
          </w:tcPr>
          <w:p w14:paraId="09F1BFC7">
            <w:pPr>
              <w:pStyle w:val="15"/>
              <w:rPr>
                <w:sz w:val="22"/>
                <w:szCs w:val="22"/>
                <w:lang w:val="sq-AL"/>
              </w:rPr>
            </w:pPr>
            <w:r>
              <w:rPr>
                <w:sz w:val="22"/>
                <w:szCs w:val="22"/>
                <w:lang w:val="sq-AL"/>
              </w:rPr>
              <w:t xml:space="preserve">Nr. i Nenit. </w:t>
            </w:r>
          </w:p>
        </w:tc>
        <w:tc>
          <w:tcPr>
            <w:tcW w:w="7267" w:type="dxa"/>
          </w:tcPr>
          <w:p w14:paraId="1A56EC4B">
            <w:pPr>
              <w:pStyle w:val="15"/>
              <w:rPr>
                <w:sz w:val="22"/>
                <w:szCs w:val="22"/>
                <w:lang w:val="sq-AL"/>
              </w:rPr>
            </w:pPr>
            <w:r>
              <w:rPr>
                <w:b/>
                <w:bCs/>
                <w:sz w:val="22"/>
                <w:szCs w:val="22"/>
                <w:lang w:val="sq-AL"/>
              </w:rPr>
              <w:t>Të Përgjithshme</w:t>
            </w:r>
          </w:p>
        </w:tc>
      </w:tr>
      <w:tr w14:paraId="1124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0D33168">
            <w:pPr>
              <w:spacing w:before="120"/>
              <w:rPr>
                <w:sz w:val="22"/>
                <w:szCs w:val="22"/>
              </w:rPr>
            </w:pPr>
            <w:r>
              <w:rPr>
                <w:sz w:val="22"/>
                <w:szCs w:val="22"/>
              </w:rPr>
              <w:t>Fusha e tenderit</w:t>
            </w:r>
          </w:p>
          <w:p w14:paraId="711B68FA">
            <w:pPr>
              <w:spacing w:before="120"/>
              <w:rPr>
                <w:bCs/>
                <w:sz w:val="22"/>
                <w:szCs w:val="22"/>
              </w:rPr>
            </w:pPr>
          </w:p>
        </w:tc>
        <w:tc>
          <w:tcPr>
            <w:tcW w:w="900" w:type="dxa"/>
          </w:tcPr>
          <w:p w14:paraId="439724F3">
            <w:pPr>
              <w:pStyle w:val="15"/>
              <w:rPr>
                <w:sz w:val="22"/>
                <w:szCs w:val="22"/>
                <w:lang w:val="sq-AL"/>
              </w:rPr>
            </w:pPr>
            <w:r>
              <w:rPr>
                <w:sz w:val="22"/>
                <w:szCs w:val="22"/>
                <w:lang w:val="sq-AL"/>
              </w:rPr>
              <w:t>1.1</w:t>
            </w:r>
          </w:p>
        </w:tc>
        <w:tc>
          <w:tcPr>
            <w:tcW w:w="7267" w:type="dxa"/>
          </w:tcPr>
          <w:p w14:paraId="187147EF">
            <w:pPr>
              <w:tabs>
                <w:tab w:val="right" w:pos="7272"/>
              </w:tabs>
              <w:spacing w:before="120" w:after="0"/>
              <w:rPr>
                <w:sz w:val="22"/>
                <w:szCs w:val="22"/>
              </w:rPr>
            </w:pPr>
            <w:r>
              <w:rPr>
                <w:sz w:val="22"/>
                <w:szCs w:val="22"/>
              </w:rPr>
              <w:t xml:space="preserve">Autoriteti Kontraktues (AK) është: </w:t>
            </w:r>
          </w:p>
          <w:p w14:paraId="4CE16481">
            <w:pPr>
              <w:tabs>
                <w:tab w:val="right" w:pos="7272"/>
              </w:tabs>
              <w:spacing w:before="120" w:after="0"/>
              <w:rPr>
                <w:i/>
                <w:iCs/>
                <w:sz w:val="22"/>
                <w:szCs w:val="22"/>
              </w:rPr>
            </w:pPr>
            <w:r>
              <w:rPr>
                <w:b/>
                <w:bCs/>
                <w:sz w:val="22"/>
                <w:szCs w:val="22"/>
              </w:rPr>
              <w:t>Emri i AK</w:t>
            </w:r>
            <w:r>
              <w:rPr>
                <w:sz w:val="22"/>
                <w:szCs w:val="22"/>
              </w:rPr>
              <w:t>: Agjencia Qendrore e Prokurimit (Prokurimet për AK)</w:t>
            </w:r>
          </w:p>
          <w:p w14:paraId="7DD98A0B">
            <w:pPr>
              <w:tabs>
                <w:tab w:val="right" w:pos="7272"/>
              </w:tabs>
              <w:spacing w:before="120" w:after="0"/>
              <w:rPr>
                <w:sz w:val="22"/>
                <w:szCs w:val="22"/>
              </w:rPr>
            </w:pPr>
            <w:r>
              <w:rPr>
                <w:b/>
                <w:bCs/>
                <w:sz w:val="22"/>
                <w:szCs w:val="22"/>
              </w:rPr>
              <w:t>Adresa e AK</w:t>
            </w:r>
            <w:r>
              <w:rPr>
                <w:sz w:val="22"/>
                <w:szCs w:val="22"/>
              </w:rPr>
              <w:t xml:space="preserve">: shehi Nena Terezë p/n, Ndërtesa e Gërmisë, </w:t>
            </w:r>
          </w:p>
          <w:p w14:paraId="1D91B864">
            <w:pPr>
              <w:tabs>
                <w:tab w:val="right" w:pos="7272"/>
              </w:tabs>
              <w:spacing w:before="120" w:after="0"/>
              <w:rPr>
                <w:i/>
                <w:iCs/>
                <w:sz w:val="22"/>
                <w:szCs w:val="22"/>
              </w:rPr>
            </w:pPr>
            <w:r>
              <w:rPr>
                <w:sz w:val="22"/>
                <w:szCs w:val="22"/>
              </w:rPr>
              <w:t>Kati i V zyra Nr. A/504</w:t>
            </w:r>
          </w:p>
          <w:p w14:paraId="7A5B997C">
            <w:pPr>
              <w:tabs>
                <w:tab w:val="right" w:pos="7272"/>
              </w:tabs>
              <w:spacing w:before="120" w:after="0"/>
              <w:rPr>
                <w:sz w:val="22"/>
                <w:szCs w:val="22"/>
              </w:rPr>
            </w:pPr>
            <w:r>
              <w:rPr>
                <w:rStyle w:val="44"/>
                <w:rFonts w:eastAsia="MS Mincho"/>
                <w:b/>
                <w:bCs/>
                <w:color w:val="auto"/>
                <w:sz w:val="22"/>
                <w:szCs w:val="22"/>
              </w:rPr>
              <w:t>Qyteti</w:t>
            </w:r>
            <w:r>
              <w:rPr>
                <w:b/>
                <w:bCs/>
                <w:sz w:val="22"/>
                <w:szCs w:val="22"/>
              </w:rPr>
              <w:t xml:space="preserve">: </w:t>
            </w:r>
            <w:r>
              <w:rPr>
                <w:i/>
                <w:iCs/>
                <w:sz w:val="22"/>
                <w:szCs w:val="22"/>
              </w:rPr>
              <w:t>Prishtinë</w:t>
            </w:r>
          </w:p>
          <w:p w14:paraId="271C1CFD">
            <w:pPr>
              <w:tabs>
                <w:tab w:val="right" w:pos="7272"/>
              </w:tabs>
              <w:spacing w:before="120" w:after="0"/>
              <w:rPr>
                <w:sz w:val="22"/>
                <w:szCs w:val="22"/>
              </w:rPr>
            </w:pPr>
            <w:r>
              <w:rPr>
                <w:rStyle w:val="44"/>
                <w:rFonts w:eastAsia="MS Mincho"/>
                <w:b/>
                <w:bCs/>
                <w:color w:val="auto"/>
                <w:sz w:val="22"/>
                <w:szCs w:val="22"/>
              </w:rPr>
              <w:t>Kodi Postar</w:t>
            </w:r>
            <w:r>
              <w:rPr>
                <w:b/>
                <w:sz w:val="22"/>
                <w:szCs w:val="22"/>
              </w:rPr>
              <w:t>:</w:t>
            </w:r>
            <w:r>
              <w:rPr>
                <w:sz w:val="22"/>
                <w:szCs w:val="22"/>
              </w:rPr>
              <w:t xml:space="preserve"> </w:t>
            </w:r>
            <w:r>
              <w:rPr>
                <w:i/>
                <w:iCs/>
                <w:sz w:val="22"/>
                <w:szCs w:val="22"/>
              </w:rPr>
              <w:t>10 000</w:t>
            </w:r>
          </w:p>
          <w:p w14:paraId="7C90E1F6">
            <w:pPr>
              <w:tabs>
                <w:tab w:val="right" w:pos="7272"/>
              </w:tabs>
              <w:spacing w:before="120" w:after="0"/>
              <w:rPr>
                <w:sz w:val="22"/>
                <w:szCs w:val="22"/>
              </w:rPr>
            </w:pPr>
            <w:r>
              <w:rPr>
                <w:b/>
                <w:bCs/>
                <w:sz w:val="22"/>
                <w:szCs w:val="22"/>
              </w:rPr>
              <w:t>Adresa Elektronike:</w:t>
            </w:r>
            <w:r>
              <w:fldChar w:fldCharType="begin"/>
            </w:r>
            <w:r>
              <w:instrText xml:space="preserve"> HYPERLINK "http://www." </w:instrText>
            </w:r>
            <w:r>
              <w:fldChar w:fldCharType="separate"/>
            </w:r>
            <w:r>
              <w:rPr>
                <w:rStyle w:val="44"/>
                <w:rFonts w:eastAsia="MS Mincho"/>
                <w:iCs/>
                <w:color w:val="auto"/>
                <w:sz w:val="22"/>
                <w:szCs w:val="22"/>
              </w:rPr>
              <w:t>www.</w:t>
            </w:r>
            <w:r>
              <w:rPr>
                <w:rStyle w:val="44"/>
                <w:rFonts w:eastAsia="MS Mincho"/>
                <w:iCs/>
                <w:color w:val="auto"/>
                <w:sz w:val="22"/>
                <w:szCs w:val="22"/>
              </w:rPr>
              <w:fldChar w:fldCharType="end"/>
            </w:r>
            <w:r>
              <w:rPr>
                <w:sz w:val="22"/>
                <w:szCs w:val="22"/>
              </w:rPr>
              <w:t>aqp.rks-gov.net</w:t>
            </w:r>
          </w:p>
          <w:p w14:paraId="5D398237">
            <w:pPr>
              <w:tabs>
                <w:tab w:val="right" w:pos="7272"/>
              </w:tabs>
              <w:spacing w:before="120" w:after="0"/>
              <w:rPr>
                <w:sz w:val="22"/>
                <w:szCs w:val="22"/>
              </w:rPr>
            </w:pPr>
            <w:r>
              <w:rPr>
                <w:b/>
                <w:sz w:val="22"/>
                <w:szCs w:val="22"/>
              </w:rPr>
              <w:t>Personi përgjegjës:</w:t>
            </w:r>
            <w:r>
              <w:rPr>
                <w:sz w:val="22"/>
                <w:szCs w:val="22"/>
              </w:rPr>
              <w:t xml:space="preserve"> Fation Alaj</w:t>
            </w:r>
          </w:p>
          <w:p w14:paraId="3CBC04C8">
            <w:pPr>
              <w:tabs>
                <w:tab w:val="right" w:pos="7272"/>
              </w:tabs>
              <w:spacing w:before="120" w:after="0"/>
              <w:rPr>
                <w:rStyle w:val="44"/>
                <w:rFonts w:eastAsia="MS Mincho"/>
                <w:bCs/>
                <w:color w:val="auto"/>
                <w:sz w:val="22"/>
                <w:szCs w:val="22"/>
              </w:rPr>
            </w:pPr>
            <w:r>
              <w:rPr>
                <w:b/>
                <w:bCs/>
                <w:sz w:val="22"/>
                <w:szCs w:val="22"/>
              </w:rPr>
              <w:t xml:space="preserve">E-mail: </w:t>
            </w:r>
            <w:r>
              <w:fldChar w:fldCharType="begin"/>
            </w:r>
            <w:r>
              <w:instrText xml:space="preserve"> HYPERLINK "mailto:fation.alaj@rks-gov.net" </w:instrText>
            </w:r>
            <w:r>
              <w:fldChar w:fldCharType="separate"/>
            </w:r>
            <w:r>
              <w:rPr>
                <w:rStyle w:val="44"/>
                <w:rFonts w:eastAsia="MS Mincho"/>
                <w:bCs/>
                <w:sz w:val="22"/>
                <w:szCs w:val="22"/>
              </w:rPr>
              <w:t>fation.alaj@rks-gov.net</w:t>
            </w:r>
            <w:r>
              <w:rPr>
                <w:rStyle w:val="44"/>
                <w:rFonts w:eastAsia="MS Mincho"/>
                <w:bCs/>
                <w:sz w:val="22"/>
                <w:szCs w:val="22"/>
              </w:rPr>
              <w:fldChar w:fldCharType="end"/>
            </w:r>
          </w:p>
          <w:p w14:paraId="51338A61">
            <w:pPr>
              <w:tabs>
                <w:tab w:val="right" w:pos="7272"/>
              </w:tabs>
              <w:spacing w:before="120" w:after="0"/>
              <w:rPr>
                <w:sz w:val="22"/>
                <w:szCs w:val="22"/>
              </w:rPr>
            </w:pPr>
            <w:r>
              <w:rPr>
                <w:b/>
                <w:sz w:val="22"/>
                <w:szCs w:val="22"/>
              </w:rPr>
              <w:t>Telefoni</w:t>
            </w:r>
            <w:r>
              <w:rPr>
                <w:sz w:val="22"/>
                <w:szCs w:val="22"/>
              </w:rPr>
              <w:t xml:space="preserve"> : 038/200 15-527</w:t>
            </w:r>
          </w:p>
          <w:p w14:paraId="47C9508D">
            <w:pPr>
              <w:tabs>
                <w:tab w:val="right" w:pos="7272"/>
              </w:tabs>
              <w:spacing w:after="0"/>
              <w:rPr>
                <w:sz w:val="22"/>
                <w:szCs w:val="22"/>
              </w:rPr>
            </w:pPr>
            <w:r>
              <w:rPr>
                <w:b/>
                <w:bCs/>
                <w:sz w:val="22"/>
                <w:szCs w:val="22"/>
              </w:rPr>
              <w:t>Faksi:</w:t>
            </w:r>
            <w:r>
              <w:rPr>
                <w:i/>
                <w:iCs/>
                <w:sz w:val="22"/>
                <w:szCs w:val="22"/>
              </w:rPr>
              <w:t>n/a</w:t>
            </w:r>
          </w:p>
        </w:tc>
      </w:tr>
      <w:tr w14:paraId="2C2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2F840E14">
            <w:pPr>
              <w:spacing w:before="120"/>
              <w:rPr>
                <w:b/>
                <w:bCs/>
                <w:sz w:val="22"/>
                <w:szCs w:val="22"/>
              </w:rPr>
            </w:pPr>
          </w:p>
        </w:tc>
        <w:tc>
          <w:tcPr>
            <w:tcW w:w="900" w:type="dxa"/>
          </w:tcPr>
          <w:p w14:paraId="781CEF54">
            <w:pPr>
              <w:pStyle w:val="15"/>
              <w:rPr>
                <w:sz w:val="22"/>
                <w:szCs w:val="22"/>
                <w:lang w:val="sq-AL"/>
              </w:rPr>
            </w:pPr>
            <w:r>
              <w:rPr>
                <w:sz w:val="22"/>
                <w:szCs w:val="22"/>
                <w:lang w:val="sq-AL"/>
              </w:rPr>
              <w:t>1.2</w:t>
            </w:r>
          </w:p>
        </w:tc>
        <w:tc>
          <w:tcPr>
            <w:tcW w:w="7267" w:type="dxa"/>
          </w:tcPr>
          <w:p w14:paraId="09165019">
            <w:pPr>
              <w:tabs>
                <w:tab w:val="right" w:pos="7272"/>
              </w:tabs>
              <w:spacing w:before="120" w:after="120"/>
              <w:ind w:right="113"/>
              <w:rPr>
                <w:sz w:val="22"/>
                <w:szCs w:val="22"/>
              </w:rPr>
            </w:pPr>
            <w:r>
              <w:rPr>
                <w:sz w:val="22"/>
                <w:szCs w:val="22"/>
              </w:rPr>
              <w:t xml:space="preserve">Titulli i kontratës dhe numri identifikues i aktivitetit të prokurimit është: </w:t>
            </w:r>
            <w:r>
              <w:rPr>
                <w:b/>
                <w:bCs/>
                <w:sz w:val="22"/>
                <w:szCs w:val="22"/>
              </w:rPr>
              <w:t>Vazhdimi i Garancionit dhe Shërbimeve të Mbështetjes për Sistemin Nacional të Monitorimit të Spektrit Radio Frekuencor (SNMS)</w:t>
            </w:r>
          </w:p>
          <w:tbl>
            <w:tblPr>
              <w:tblStyle w:val="12"/>
              <w:tblW w:w="578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3733"/>
            </w:tblGrid>
            <w:tr w14:paraId="0B96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055" w:type="dxa"/>
                  <w:tcBorders>
                    <w:top w:val="single" w:color="auto" w:sz="4" w:space="0"/>
                    <w:left w:val="single" w:color="auto" w:sz="4" w:space="0"/>
                    <w:bottom w:val="single" w:color="auto" w:sz="4" w:space="0"/>
                    <w:right w:val="single" w:color="auto" w:sz="12" w:space="0"/>
                  </w:tcBorders>
                </w:tcPr>
                <w:p w14:paraId="2AB3CF9C">
                  <w:pPr>
                    <w:spacing w:before="120" w:after="120"/>
                    <w:rPr>
                      <w:b/>
                      <w:bCs/>
                      <w:sz w:val="22"/>
                      <w:szCs w:val="22"/>
                      <w:vertAlign w:val="superscript"/>
                    </w:rPr>
                  </w:pPr>
                  <w:r>
                    <w:rPr>
                      <w:b/>
                      <w:iCs/>
                      <w:sz w:val="22"/>
                      <w:szCs w:val="22"/>
                    </w:rPr>
                    <w:t>Nr i prokurimit</w:t>
                  </w:r>
                </w:p>
              </w:tc>
              <w:tc>
                <w:tcPr>
                  <w:tcW w:w="3733" w:type="dxa"/>
                  <w:tcBorders>
                    <w:top w:val="single" w:color="auto" w:sz="12" w:space="0"/>
                    <w:left w:val="single" w:color="auto" w:sz="12" w:space="0"/>
                    <w:bottom w:val="single" w:color="auto" w:sz="12" w:space="0"/>
                    <w:right w:val="single" w:color="auto" w:sz="4" w:space="0"/>
                  </w:tcBorders>
                </w:tcPr>
                <w:p w14:paraId="4F3050BD">
                  <w:pPr>
                    <w:spacing w:before="120" w:after="120"/>
                    <w:rPr>
                      <w:b/>
                      <w:bCs/>
                      <w:sz w:val="22"/>
                      <w:szCs w:val="22"/>
                    </w:rPr>
                  </w:pPr>
                  <w:r>
                    <w:rPr>
                      <w:b/>
                      <w:color w:val="333333"/>
                      <w:lang w:val="en-US"/>
                    </w:rPr>
                    <w:t>201/26300-26-1599-2-1-5</w:t>
                  </w:r>
                </w:p>
              </w:tc>
            </w:tr>
          </w:tbl>
          <w:p w14:paraId="1DD269B8">
            <w:pPr>
              <w:tabs>
                <w:tab w:val="right" w:pos="7272"/>
              </w:tabs>
              <w:spacing w:before="120" w:after="120"/>
              <w:ind w:right="113"/>
              <w:rPr>
                <w:sz w:val="22"/>
                <w:szCs w:val="22"/>
                <w:u w:val="single"/>
              </w:rPr>
            </w:pPr>
          </w:p>
        </w:tc>
      </w:tr>
      <w:tr w14:paraId="6FB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0B8A5DF5">
            <w:pPr>
              <w:spacing w:before="120"/>
              <w:rPr>
                <w:b/>
                <w:bCs/>
                <w:sz w:val="22"/>
                <w:szCs w:val="22"/>
              </w:rPr>
            </w:pPr>
          </w:p>
        </w:tc>
        <w:tc>
          <w:tcPr>
            <w:tcW w:w="900" w:type="dxa"/>
          </w:tcPr>
          <w:p w14:paraId="56432F35">
            <w:pPr>
              <w:pStyle w:val="15"/>
              <w:rPr>
                <w:sz w:val="22"/>
                <w:szCs w:val="22"/>
                <w:lang w:val="sq-AL"/>
              </w:rPr>
            </w:pPr>
            <w:r>
              <w:rPr>
                <w:sz w:val="22"/>
                <w:szCs w:val="22"/>
                <w:lang w:val="sq-AL"/>
              </w:rPr>
              <w:t xml:space="preserve">1.4 </w:t>
            </w:r>
          </w:p>
        </w:tc>
        <w:tc>
          <w:tcPr>
            <w:tcW w:w="7267" w:type="dxa"/>
          </w:tcPr>
          <w:p w14:paraId="6A76EEBA">
            <w:pPr>
              <w:tabs>
                <w:tab w:val="right" w:pos="7272"/>
              </w:tabs>
              <w:spacing w:before="120" w:after="120"/>
              <w:ind w:right="113"/>
              <w:rPr>
                <w:sz w:val="22"/>
                <w:szCs w:val="22"/>
              </w:rPr>
            </w:pPr>
            <w:r>
              <w:rPr>
                <w:sz w:val="22"/>
                <w:szCs w:val="22"/>
              </w:rPr>
              <w:t xml:space="preserve">Data e dorëzimit të </w:t>
            </w:r>
            <w:r>
              <w:rPr>
                <w:b/>
                <w:sz w:val="22"/>
                <w:szCs w:val="22"/>
              </w:rPr>
              <w:t xml:space="preserve">Njoftim për përdorimin e procedurës së negociuar pa publikim të njoftimit për kontratë </w:t>
            </w:r>
            <w:r>
              <w:rPr>
                <w:sz w:val="22"/>
                <w:szCs w:val="22"/>
              </w:rPr>
              <w:t>në KRPP:</w:t>
            </w:r>
            <w:r>
              <w:rPr>
                <w:color w:val="FF0000"/>
                <w:sz w:val="22"/>
                <w:szCs w:val="22"/>
              </w:rPr>
              <w:t xml:space="preserve"> </w:t>
            </w:r>
            <w:r>
              <w:rPr>
                <w:sz w:val="22"/>
                <w:szCs w:val="22"/>
              </w:rPr>
              <w:t>25.03.2026</w:t>
            </w:r>
          </w:p>
        </w:tc>
      </w:tr>
      <w:tr w14:paraId="7BC8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83" w:type="dxa"/>
          </w:tcPr>
          <w:p w14:paraId="7C187971">
            <w:pPr>
              <w:spacing w:before="120" w:after="0"/>
              <w:rPr>
                <w:b/>
                <w:bCs/>
                <w:sz w:val="22"/>
                <w:szCs w:val="22"/>
              </w:rPr>
            </w:pPr>
          </w:p>
        </w:tc>
        <w:tc>
          <w:tcPr>
            <w:tcW w:w="900" w:type="dxa"/>
          </w:tcPr>
          <w:p w14:paraId="51F7DF28">
            <w:pPr>
              <w:pStyle w:val="15"/>
              <w:spacing w:after="0"/>
              <w:rPr>
                <w:sz w:val="22"/>
                <w:szCs w:val="22"/>
                <w:lang w:val="sq-AL"/>
              </w:rPr>
            </w:pPr>
            <w:r>
              <w:rPr>
                <w:sz w:val="22"/>
                <w:szCs w:val="22"/>
                <w:lang w:val="sq-AL"/>
              </w:rPr>
              <w:t>1.5</w:t>
            </w:r>
          </w:p>
        </w:tc>
        <w:tc>
          <w:tcPr>
            <w:tcW w:w="7267" w:type="dxa"/>
          </w:tcPr>
          <w:p w14:paraId="2D38EC28">
            <w:pPr>
              <w:spacing w:after="0"/>
              <w:rPr>
                <w:sz w:val="22"/>
                <w:szCs w:val="22"/>
              </w:rPr>
            </w:pPr>
            <w:r>
              <w:rPr>
                <w:sz w:val="22"/>
                <w:szCs w:val="22"/>
              </w:rPr>
              <w:t>Tenderi duhet të dorëzohet ne adresën e  përmendur në 1.1</w:t>
            </w:r>
          </w:p>
        </w:tc>
      </w:tr>
      <w:tr w14:paraId="2A6D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83" w:type="dxa"/>
          </w:tcPr>
          <w:p w14:paraId="55EB94F9">
            <w:pPr>
              <w:spacing w:before="120"/>
              <w:jc w:val="center"/>
              <w:rPr>
                <w:sz w:val="22"/>
                <w:szCs w:val="22"/>
              </w:rPr>
            </w:pPr>
            <w:r>
              <w:rPr>
                <w:sz w:val="22"/>
                <w:szCs w:val="22"/>
              </w:rPr>
              <w:t>Qëllimi i Kontratës</w:t>
            </w:r>
          </w:p>
          <w:p w14:paraId="49BEE9F3">
            <w:pPr>
              <w:spacing w:before="120" w:after="0"/>
              <w:rPr>
                <w:b/>
                <w:bCs/>
                <w:sz w:val="22"/>
                <w:szCs w:val="22"/>
              </w:rPr>
            </w:pPr>
          </w:p>
        </w:tc>
        <w:tc>
          <w:tcPr>
            <w:tcW w:w="900" w:type="dxa"/>
          </w:tcPr>
          <w:p w14:paraId="3C21F2C8">
            <w:pPr>
              <w:pStyle w:val="15"/>
              <w:spacing w:after="0"/>
              <w:rPr>
                <w:sz w:val="22"/>
                <w:szCs w:val="22"/>
                <w:lang w:val="sq-AL"/>
              </w:rPr>
            </w:pPr>
            <w:r>
              <w:rPr>
                <w:sz w:val="22"/>
                <w:szCs w:val="22"/>
                <w:lang w:val="sq-AL"/>
              </w:rPr>
              <w:t>2.1</w:t>
            </w:r>
          </w:p>
        </w:tc>
        <w:tc>
          <w:tcPr>
            <w:tcW w:w="7267" w:type="dxa"/>
          </w:tcPr>
          <w:p w14:paraId="7D6BC4E2">
            <w:pPr>
              <w:spacing w:after="120"/>
              <w:jc w:val="left"/>
              <w:outlineLvl w:val="1"/>
              <w:rPr>
                <w:b/>
                <w:sz w:val="22"/>
                <w:szCs w:val="22"/>
              </w:rPr>
            </w:pPr>
            <w:r>
              <w:rPr>
                <w:sz w:val="22"/>
                <w:szCs w:val="22"/>
              </w:rPr>
              <w:t>Qëllimi i kontratës është qe te përcaktohen kushtet që rregullojnë kryerjen e shërbimeve në vijim:</w:t>
            </w:r>
            <w:r>
              <w:rPr>
                <w:b/>
                <w:sz w:val="22"/>
                <w:szCs w:val="22"/>
              </w:rPr>
              <w:t xml:space="preserve"> </w:t>
            </w:r>
            <w:r>
              <w:rPr>
                <w:b/>
                <w:bCs/>
                <w:sz w:val="22"/>
                <w:szCs w:val="22"/>
              </w:rPr>
              <w:t xml:space="preserve">Vazhdimi i Garancionit dhe Shërbimeve të Mbështetjes për Sistemin Nacional të Monitorimit të Spektrit Radio Frekuencor (SNMS) </w:t>
            </w:r>
            <w:r>
              <w:rPr>
                <w:b/>
                <w:sz w:val="22"/>
                <w:szCs w:val="22"/>
              </w:rPr>
              <w:t>për një periudhë 12 mujore.</w:t>
            </w:r>
          </w:p>
        </w:tc>
      </w:tr>
      <w:tr w14:paraId="292E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83" w:type="dxa"/>
          </w:tcPr>
          <w:p w14:paraId="3624A37E">
            <w:pPr>
              <w:spacing w:before="120"/>
              <w:rPr>
                <w:b/>
                <w:bCs/>
                <w:sz w:val="22"/>
                <w:szCs w:val="22"/>
                <w:highlight w:val="yellow"/>
              </w:rPr>
            </w:pPr>
          </w:p>
        </w:tc>
        <w:tc>
          <w:tcPr>
            <w:tcW w:w="900" w:type="dxa"/>
          </w:tcPr>
          <w:p w14:paraId="36A0F888">
            <w:pPr>
              <w:pStyle w:val="15"/>
              <w:spacing w:after="0"/>
              <w:rPr>
                <w:sz w:val="22"/>
                <w:szCs w:val="22"/>
                <w:lang w:val="sq-AL"/>
              </w:rPr>
            </w:pPr>
            <w:r>
              <w:rPr>
                <w:sz w:val="22"/>
                <w:szCs w:val="22"/>
                <w:lang w:val="sq-AL"/>
              </w:rPr>
              <w:t>2.3</w:t>
            </w:r>
          </w:p>
        </w:tc>
        <w:tc>
          <w:tcPr>
            <w:tcW w:w="7267" w:type="dxa"/>
          </w:tcPr>
          <w:p w14:paraId="586B587D">
            <w:pPr>
              <w:spacing w:after="0"/>
              <w:ind w:right="113"/>
              <w:rPr>
                <w:sz w:val="22"/>
                <w:szCs w:val="22"/>
              </w:rPr>
            </w:pPr>
            <w:r>
              <w:rPr>
                <w:rStyle w:val="126"/>
                <w:sz w:val="22"/>
                <w:szCs w:val="22"/>
              </w:rPr>
              <w:t>Klasifikimi i Fjalorit të</w:t>
            </w:r>
            <w:r>
              <w:rPr>
                <w:sz w:val="22"/>
                <w:szCs w:val="22"/>
              </w:rPr>
              <w:t xml:space="preserve"> Përgjithshëm </w:t>
            </w:r>
            <w:r>
              <w:rPr>
                <w:rStyle w:val="126"/>
                <w:sz w:val="22"/>
                <w:szCs w:val="22"/>
              </w:rPr>
              <w:t>të Prokurimit</w:t>
            </w:r>
            <w:r>
              <w:rPr>
                <w:sz w:val="22"/>
                <w:szCs w:val="22"/>
              </w:rPr>
              <w:t xml:space="preserve"> (</w:t>
            </w:r>
            <w:r>
              <w:rPr>
                <w:rStyle w:val="126"/>
                <w:sz w:val="22"/>
                <w:szCs w:val="22"/>
              </w:rPr>
              <w:t xml:space="preserve">FPP): </w:t>
            </w:r>
            <w:r>
              <w:rPr>
                <w:b/>
                <w:sz w:val="22"/>
                <w:szCs w:val="22"/>
              </w:rPr>
              <w:t>50312510-3</w:t>
            </w:r>
          </w:p>
        </w:tc>
      </w:tr>
      <w:tr w14:paraId="2F32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83" w:type="dxa"/>
          </w:tcPr>
          <w:p w14:paraId="19BB471F">
            <w:pPr>
              <w:spacing w:before="120"/>
              <w:jc w:val="center"/>
              <w:rPr>
                <w:b/>
                <w:bCs/>
                <w:sz w:val="22"/>
                <w:szCs w:val="22"/>
                <w:highlight w:val="yellow"/>
              </w:rPr>
            </w:pPr>
            <w:r>
              <w:rPr>
                <w:sz w:val="22"/>
                <w:szCs w:val="22"/>
              </w:rPr>
              <w:t>Vlera e parashikuar</w:t>
            </w:r>
            <w:r>
              <w:rPr>
                <w:b/>
                <w:bCs/>
                <w:sz w:val="22"/>
                <w:szCs w:val="22"/>
                <w:highlight w:val="yellow"/>
              </w:rPr>
              <w:t xml:space="preserve"> </w:t>
            </w:r>
          </w:p>
        </w:tc>
        <w:tc>
          <w:tcPr>
            <w:tcW w:w="900" w:type="dxa"/>
          </w:tcPr>
          <w:p w14:paraId="40A43E30">
            <w:pPr>
              <w:pStyle w:val="15"/>
              <w:spacing w:after="0"/>
              <w:rPr>
                <w:sz w:val="22"/>
                <w:szCs w:val="22"/>
                <w:lang w:val="sq-AL"/>
              </w:rPr>
            </w:pPr>
            <w:r>
              <w:rPr>
                <w:sz w:val="22"/>
                <w:szCs w:val="22"/>
                <w:lang w:val="sq-AL"/>
              </w:rPr>
              <w:t>2.4</w:t>
            </w:r>
          </w:p>
        </w:tc>
        <w:tc>
          <w:tcPr>
            <w:tcW w:w="7267" w:type="dxa"/>
          </w:tcPr>
          <w:p w14:paraId="77F28DAD">
            <w:pPr>
              <w:spacing w:after="0"/>
              <w:ind w:right="113"/>
              <w:rPr>
                <w:rStyle w:val="126"/>
                <w:sz w:val="22"/>
                <w:szCs w:val="22"/>
              </w:rPr>
            </w:pPr>
            <w:r>
              <w:rPr>
                <w:rStyle w:val="126"/>
                <w:sz w:val="22"/>
                <w:szCs w:val="22"/>
              </w:rPr>
              <w:t>125,000.00 €</w:t>
            </w:r>
          </w:p>
        </w:tc>
      </w:tr>
      <w:tr w14:paraId="75B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83" w:type="dxa"/>
          </w:tcPr>
          <w:p w14:paraId="6F268B75">
            <w:pPr>
              <w:spacing w:before="120"/>
              <w:jc w:val="left"/>
              <w:rPr>
                <w:sz w:val="22"/>
                <w:szCs w:val="22"/>
              </w:rPr>
            </w:pPr>
            <w:r>
              <w:rPr>
                <w:rFonts w:ascii="Arial" w:hAnsi="Arial" w:cs="Arial"/>
                <w:sz w:val="20"/>
              </w:rPr>
              <w:t>Kushtet dhe kërkesate dërgesës</w:t>
            </w:r>
          </w:p>
        </w:tc>
        <w:tc>
          <w:tcPr>
            <w:tcW w:w="900" w:type="dxa"/>
          </w:tcPr>
          <w:p w14:paraId="34C0FFB1">
            <w:pPr>
              <w:pStyle w:val="15"/>
              <w:spacing w:after="0"/>
              <w:rPr>
                <w:sz w:val="22"/>
                <w:szCs w:val="22"/>
                <w:lang w:val="sq-AL"/>
              </w:rPr>
            </w:pPr>
            <w:r>
              <w:rPr>
                <w:sz w:val="22"/>
                <w:szCs w:val="22"/>
                <w:lang w:val="sq-AL"/>
              </w:rPr>
              <w:t>5.1</w:t>
            </w:r>
          </w:p>
        </w:tc>
        <w:tc>
          <w:tcPr>
            <w:tcW w:w="7267" w:type="dxa"/>
          </w:tcPr>
          <w:p w14:paraId="6B1DEA43">
            <w:pPr>
              <w:spacing w:after="0"/>
              <w:ind w:right="113"/>
              <w:rPr>
                <w:rStyle w:val="126"/>
                <w:sz w:val="22"/>
                <w:szCs w:val="22"/>
              </w:rPr>
            </w:pPr>
            <w:r>
              <w:rPr>
                <w:sz w:val="22"/>
                <w:szCs w:val="22"/>
              </w:rPr>
              <w:t>Vendi i dërgesës së shërbimeve është: Autoriteti Rregullator i Komunikimeve Elektronike dhe Postare</w:t>
            </w:r>
          </w:p>
        </w:tc>
      </w:tr>
      <w:tr w14:paraId="79E5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83" w:type="dxa"/>
          </w:tcPr>
          <w:p w14:paraId="7CD060AF">
            <w:pPr>
              <w:spacing w:after="0"/>
              <w:jc w:val="left"/>
              <w:rPr>
                <w:bCs/>
                <w:sz w:val="22"/>
                <w:szCs w:val="22"/>
              </w:rPr>
            </w:pPr>
          </w:p>
        </w:tc>
        <w:tc>
          <w:tcPr>
            <w:tcW w:w="900" w:type="dxa"/>
          </w:tcPr>
          <w:p w14:paraId="611A0206">
            <w:pPr>
              <w:pStyle w:val="15"/>
              <w:spacing w:after="0"/>
              <w:rPr>
                <w:sz w:val="22"/>
                <w:szCs w:val="22"/>
                <w:lang w:val="sq-AL"/>
              </w:rPr>
            </w:pPr>
            <w:r>
              <w:rPr>
                <w:sz w:val="22"/>
                <w:szCs w:val="22"/>
                <w:lang w:val="sq-AL"/>
              </w:rPr>
              <w:t>5.2</w:t>
            </w:r>
          </w:p>
        </w:tc>
        <w:tc>
          <w:tcPr>
            <w:tcW w:w="7267" w:type="dxa"/>
          </w:tcPr>
          <w:p w14:paraId="3DCC821D">
            <w:pPr>
              <w:tabs>
                <w:tab w:val="right" w:pos="7272"/>
              </w:tabs>
              <w:spacing w:after="0"/>
              <w:rPr>
                <w:sz w:val="22"/>
                <w:szCs w:val="22"/>
              </w:rPr>
            </w:pPr>
            <w:r>
              <w:rPr>
                <w:rFonts w:ascii="Arial" w:hAnsi="Arial" w:cs="Arial"/>
                <w:sz w:val="20"/>
              </w:rPr>
              <w:t xml:space="preserve">Afatet kohore për fillimin dhe/ose përfundimin e kontratës </w:t>
            </w:r>
            <w:r>
              <w:rPr>
                <w:rFonts w:ascii="Arial" w:hAnsi="Arial" w:cs="Arial"/>
                <w:b/>
                <w:sz w:val="20"/>
              </w:rPr>
              <w:t xml:space="preserve"> 12 muaj nga hyrja në fuqi e kontratës </w:t>
            </w:r>
          </w:p>
          <w:p w14:paraId="69A85585">
            <w:pPr>
              <w:tabs>
                <w:tab w:val="right" w:pos="7272"/>
              </w:tabs>
              <w:spacing w:after="0"/>
              <w:rPr>
                <w:sz w:val="22"/>
                <w:szCs w:val="22"/>
              </w:rPr>
            </w:pPr>
          </w:p>
        </w:tc>
      </w:tr>
      <w:tr w14:paraId="254B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CD05B98">
            <w:pPr>
              <w:spacing w:before="120"/>
              <w:rPr>
                <w:sz w:val="22"/>
                <w:szCs w:val="22"/>
              </w:rPr>
            </w:pPr>
          </w:p>
        </w:tc>
        <w:tc>
          <w:tcPr>
            <w:tcW w:w="900" w:type="dxa"/>
          </w:tcPr>
          <w:p w14:paraId="6056CBA1">
            <w:pPr>
              <w:pStyle w:val="15"/>
              <w:rPr>
                <w:sz w:val="22"/>
                <w:szCs w:val="22"/>
                <w:lang w:val="sq-AL"/>
              </w:rPr>
            </w:pPr>
            <w:r>
              <w:rPr>
                <w:sz w:val="22"/>
                <w:szCs w:val="22"/>
                <w:lang w:val="sq-AL"/>
              </w:rPr>
              <w:t>5.3</w:t>
            </w:r>
          </w:p>
        </w:tc>
        <w:tc>
          <w:tcPr>
            <w:tcW w:w="7267" w:type="dxa"/>
          </w:tcPr>
          <w:p w14:paraId="7CCED19A">
            <w:pPr>
              <w:tabs>
                <w:tab w:val="right" w:pos="7272"/>
              </w:tabs>
              <w:spacing w:before="120" w:after="120"/>
              <w:rPr>
                <w:sz w:val="22"/>
                <w:szCs w:val="22"/>
              </w:rPr>
            </w:pPr>
            <w:r>
              <w:rPr>
                <w:sz w:val="22"/>
                <w:szCs w:val="22"/>
              </w:rPr>
              <w:t>Kushtet e dërgesës</w:t>
            </w:r>
            <w:r>
              <w:rPr>
                <w:i/>
                <w:sz w:val="22"/>
                <w:szCs w:val="22"/>
              </w:rPr>
              <w:t xml:space="preserve">: </w:t>
            </w:r>
            <w:r>
              <w:rPr>
                <w:rStyle w:val="44"/>
                <w:color w:val="auto"/>
                <w:sz w:val="22"/>
                <w:szCs w:val="22"/>
              </w:rPr>
              <w:t>DDP (detyrat e dërguara të paguara)</w:t>
            </w:r>
          </w:p>
        </w:tc>
      </w:tr>
      <w:tr w14:paraId="2BFA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83" w:type="dxa"/>
          </w:tcPr>
          <w:p w14:paraId="6DC1188D">
            <w:pPr>
              <w:spacing w:before="120" w:after="0"/>
              <w:jc w:val="center"/>
              <w:rPr>
                <w:b/>
                <w:sz w:val="22"/>
                <w:szCs w:val="22"/>
              </w:rPr>
            </w:pPr>
            <w:r>
              <w:rPr>
                <w:sz w:val="22"/>
                <w:szCs w:val="22"/>
              </w:rPr>
              <w:t>Pranueshmëria e Operatorëve Ekonomik</w:t>
            </w:r>
          </w:p>
        </w:tc>
        <w:tc>
          <w:tcPr>
            <w:tcW w:w="900" w:type="dxa"/>
          </w:tcPr>
          <w:p w14:paraId="23D7BBAE">
            <w:pPr>
              <w:pStyle w:val="15"/>
              <w:spacing w:before="120" w:after="0"/>
              <w:rPr>
                <w:sz w:val="22"/>
                <w:szCs w:val="22"/>
                <w:lang w:val="sq-AL"/>
              </w:rPr>
            </w:pPr>
            <w:r>
              <w:rPr>
                <w:sz w:val="22"/>
                <w:szCs w:val="22"/>
                <w:lang w:val="sq-AL"/>
              </w:rPr>
              <w:t>6.4</w:t>
            </w:r>
          </w:p>
        </w:tc>
        <w:tc>
          <w:tcPr>
            <w:tcW w:w="7267" w:type="dxa"/>
          </w:tcPr>
          <w:p w14:paraId="7D360C96">
            <w:pPr>
              <w:numPr>
                <w:ilvl w:val="0"/>
                <w:numId w:val="21"/>
              </w:numPr>
              <w:tabs>
                <w:tab w:val="left" w:pos="360"/>
              </w:tabs>
              <w:spacing w:after="0"/>
              <w:ind w:left="360" w:right="113"/>
              <w:rPr>
                <w:rFonts w:ascii="Arial" w:hAnsi="Arial" w:cs="Arial"/>
                <w:sz w:val="20"/>
              </w:rPr>
            </w:pPr>
            <w:r>
              <w:rPr>
                <w:rFonts w:ascii="Arial" w:hAnsi="Arial" w:cs="Arial"/>
                <w:sz w:val="20"/>
              </w:rPr>
              <w:t>Një deklarata e shkruar nën Betim, e nënshkruar nga tenderuesi duke përdorur formën në Aneksin 2.</w:t>
            </w:r>
          </w:p>
          <w:p w14:paraId="1D8DD14D">
            <w:pPr>
              <w:spacing w:after="0"/>
              <w:ind w:left="360" w:right="113"/>
              <w:rPr>
                <w:rFonts w:ascii="Arial" w:hAnsi="Arial" w:cs="Arial"/>
                <w:sz w:val="20"/>
              </w:rPr>
            </w:pPr>
          </w:p>
          <w:p w14:paraId="64A345B8">
            <w:pPr>
              <w:spacing w:after="0"/>
              <w:ind w:left="360" w:right="113"/>
              <w:rPr>
                <w:rFonts w:ascii="Arial" w:hAnsi="Arial" w:cs="Arial"/>
                <w:sz w:val="20"/>
              </w:rPr>
            </w:pPr>
            <w:r>
              <w:rPr>
                <w:rFonts w:ascii="Arial" w:hAnsi="Arial" w:cs="Arial"/>
                <w:sz w:val="20"/>
              </w:rPr>
              <w:t xml:space="preserve">Dëshmitë lidhur me kërkesat e pranueshmërise  do të kërkohen nga tenderuesi të cilit autoriteti kontraktues ka ndër mend që t’ia jap kontratën. Këto dokumente duhet të dorëzohen nga tenderuesi para dhënies së kontratës. Në rast të dështimit të dorëzimit te këtij dokumenti, tenderi në fjalë do të refuzohet </w:t>
            </w:r>
          </w:p>
          <w:p w14:paraId="66B6A05F">
            <w:pPr>
              <w:spacing w:after="0"/>
              <w:ind w:left="360" w:right="113"/>
              <w:rPr>
                <w:rFonts w:ascii="Arial" w:hAnsi="Arial" w:cs="Arial"/>
                <w:sz w:val="20"/>
              </w:rPr>
            </w:pPr>
          </w:p>
          <w:p w14:paraId="0733585F">
            <w:pPr>
              <w:spacing w:after="0"/>
              <w:ind w:left="360" w:right="113"/>
              <w:rPr>
                <w:rFonts w:ascii="Arial" w:hAnsi="Arial" w:cs="Arial"/>
                <w:sz w:val="20"/>
              </w:rPr>
            </w:pPr>
            <w:r>
              <w:rPr>
                <w:rFonts w:ascii="Arial" w:hAnsi="Arial" w:cs="Arial"/>
                <w:sz w:val="20"/>
              </w:rPr>
              <w:t>Dokumentet te cilat do te kërkohen si dëshmi për përmbushje te kërkesave te pranueshmërise janë me se vijon:</w:t>
            </w:r>
          </w:p>
          <w:p w14:paraId="57D1F1A7">
            <w:pPr>
              <w:spacing w:after="0"/>
              <w:ind w:left="360" w:right="113"/>
              <w:rPr>
                <w:rFonts w:ascii="Arial" w:hAnsi="Arial" w:cs="Arial"/>
                <w:sz w:val="20"/>
              </w:rPr>
            </w:pPr>
            <w:r>
              <w:rPr>
                <w:rFonts w:ascii="Arial" w:hAnsi="Arial" w:cs="Arial"/>
                <w:sz w:val="20"/>
              </w:rPr>
              <w:t xml:space="preserve"> </w:t>
            </w:r>
          </w:p>
          <w:p w14:paraId="2C3075E7">
            <w:pPr>
              <w:pStyle w:val="114"/>
              <w:numPr>
                <w:ilvl w:val="0"/>
                <w:numId w:val="22"/>
              </w:numPr>
              <w:ind w:left="360" w:right="115"/>
              <w:rPr>
                <w:rFonts w:ascii="Arial" w:hAnsi="Arial" w:cs="Arial"/>
                <w:sz w:val="20"/>
              </w:rPr>
            </w:pPr>
            <w:r>
              <w:rPr>
                <w:rFonts w:ascii="Arial" w:hAnsi="Arial" w:cs="Arial"/>
                <w:sz w:val="20"/>
              </w:rPr>
              <w:t xml:space="preserve">Për situatën referuar pikës 6.2 [a,b, c,d, e dhe f] dhe pikës 6.3 [a,b dhe d], vërtetim i lëshuar nga gjykata kompetente apo autoritetet administrative </w:t>
            </w:r>
            <w:r>
              <w:rPr>
                <w:rStyle w:val="126"/>
                <w:rFonts w:ascii="Arial" w:hAnsi="Arial" w:cs="Arial"/>
                <w:sz w:val="20"/>
              </w:rPr>
              <w:t>të</w:t>
            </w:r>
            <w:r>
              <w:rPr>
                <w:rStyle w:val="127"/>
                <w:rFonts w:ascii="Arial" w:hAnsi="Arial" w:cs="Arial"/>
                <w:sz w:val="20"/>
              </w:rPr>
              <w:t xml:space="preserve"> </w:t>
            </w:r>
            <w:r>
              <w:rPr>
                <w:rStyle w:val="126"/>
                <w:rFonts w:ascii="Arial" w:hAnsi="Arial" w:cs="Arial"/>
                <w:sz w:val="20"/>
              </w:rPr>
              <w:t>vendit</w:t>
            </w:r>
            <w:r>
              <w:rPr>
                <w:rStyle w:val="127"/>
                <w:rFonts w:ascii="Arial" w:hAnsi="Arial" w:cs="Arial"/>
                <w:sz w:val="20"/>
              </w:rPr>
              <w:t xml:space="preserve"> </w:t>
            </w:r>
            <w:r>
              <w:rPr>
                <w:rStyle w:val="126"/>
                <w:rFonts w:ascii="Arial" w:hAnsi="Arial" w:cs="Arial"/>
                <w:sz w:val="20"/>
              </w:rPr>
              <w:t>të themelimit të tenderuesit.</w:t>
            </w:r>
            <w:r>
              <w:rPr>
                <w:rFonts w:ascii="Arial" w:hAnsi="Arial" w:cs="Arial"/>
                <w:sz w:val="20"/>
              </w:rPr>
              <w:t xml:space="preserve"> </w:t>
            </w:r>
          </w:p>
          <w:p w14:paraId="5A27D76A">
            <w:pPr>
              <w:numPr>
                <w:ilvl w:val="0"/>
                <w:numId w:val="22"/>
              </w:numPr>
              <w:spacing w:after="0"/>
              <w:ind w:left="360" w:right="113"/>
              <w:rPr>
                <w:rFonts w:ascii="Arial" w:hAnsi="Arial" w:cs="Arial"/>
                <w:sz w:val="20"/>
              </w:rPr>
            </w:pPr>
            <w:r>
              <w:rPr>
                <w:rFonts w:ascii="Arial" w:hAnsi="Arial" w:cs="Arial"/>
                <w:sz w:val="20"/>
              </w:rPr>
              <w:t xml:space="preserve">Për situatën referuar pikës 6.3 [h (kontributi i sigurimit social), i dhe k] certifikate e lëshuar nga autoriteti kompetent apo operatori publik që një situate e tillë nuk ekziston. </w:t>
            </w:r>
          </w:p>
          <w:p w14:paraId="543605D9">
            <w:pPr>
              <w:numPr>
                <w:ilvl w:val="0"/>
                <w:numId w:val="22"/>
              </w:numPr>
              <w:spacing w:after="0"/>
              <w:ind w:left="360" w:right="113"/>
              <w:jc w:val="left"/>
              <w:rPr>
                <w:rFonts w:ascii="Arial" w:hAnsi="Arial" w:cs="Arial"/>
                <w:sz w:val="20"/>
                <w:lang w:eastAsia="en-US"/>
              </w:rPr>
            </w:pPr>
            <w:r>
              <w:rPr>
                <w:rFonts w:ascii="Arial" w:hAnsi="Arial" w:cs="Arial"/>
                <w:sz w:val="20"/>
              </w:rPr>
              <w:t xml:space="preserve">Për situatën referuar pikës 6.3 [h (tatimit)], vërtetim i lëshuar nga Administrata Tatimore e vendit të themelimit të operatorit ekonomik, se operatori ekonomik në fjalë nuk është delikuent (shkelës) në pagesën e tatimeve së paku deri në tremujorin e fundit të vitit  </w:t>
            </w:r>
            <w:r>
              <w:rPr>
                <w:rFonts w:ascii="Arial" w:hAnsi="Arial" w:cs="Arial"/>
                <w:i/>
                <w:sz w:val="20"/>
              </w:rPr>
              <w:t xml:space="preserve">[para datës së publikimit të Njoftimit të Kontratës] </w:t>
            </w:r>
          </w:p>
          <w:p w14:paraId="2647CFC3">
            <w:pPr>
              <w:pStyle w:val="2"/>
              <w:spacing w:before="120" w:after="0"/>
              <w:rPr>
                <w:rStyle w:val="44"/>
                <w:rFonts w:ascii="Times New Roman" w:hAnsi="Times New Roman"/>
                <w:b w:val="0"/>
                <w:bCs w:val="0"/>
                <w:color w:val="auto"/>
                <w:sz w:val="22"/>
                <w:szCs w:val="22"/>
                <w:lang w:eastAsia="en-US"/>
              </w:rPr>
            </w:pPr>
            <w:r>
              <w:rPr>
                <w:rFonts w:ascii="Arial" w:hAnsi="Arial" w:cs="Arial"/>
                <w:b w:val="0"/>
                <w:bCs w:val="0"/>
                <w:sz w:val="20"/>
                <w:lang w:val="sq-AL"/>
              </w:rPr>
              <w:t>Në lidhje me dispozitat e tjera të përcaktuara në Nenin 6 si dhe në rastin kur lëshimi i dokumenteve dhe certifikatave që referohen më lart është i pamundshëm për arsye objektive, apo kur dokumentet nuk mbulojnë të gjitha rastet për të cilat është nxjerrë dëshmia, një deklaratë nën betim nga tenderuesi mund të pranohet si dëshmi e mjaftueshme.</w:t>
            </w:r>
          </w:p>
        </w:tc>
      </w:tr>
      <w:tr w14:paraId="0FC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83" w:type="dxa"/>
          </w:tcPr>
          <w:p w14:paraId="3B4D1603">
            <w:pPr>
              <w:spacing w:before="120" w:after="0"/>
              <w:rPr>
                <w:sz w:val="22"/>
                <w:szCs w:val="22"/>
              </w:rPr>
            </w:pPr>
          </w:p>
        </w:tc>
        <w:tc>
          <w:tcPr>
            <w:tcW w:w="900" w:type="dxa"/>
          </w:tcPr>
          <w:p w14:paraId="17524E9A">
            <w:pPr>
              <w:pStyle w:val="15"/>
              <w:spacing w:before="120" w:after="0"/>
              <w:rPr>
                <w:sz w:val="22"/>
                <w:szCs w:val="22"/>
                <w:lang w:val="sq-AL"/>
              </w:rPr>
            </w:pPr>
            <w:r>
              <w:rPr>
                <w:sz w:val="22"/>
                <w:szCs w:val="22"/>
                <w:lang w:val="sq-AL"/>
              </w:rPr>
              <w:t>6.5</w:t>
            </w:r>
          </w:p>
        </w:tc>
        <w:tc>
          <w:tcPr>
            <w:tcW w:w="7267" w:type="dxa"/>
          </w:tcPr>
          <w:p w14:paraId="4B9E37CC">
            <w:pPr>
              <w:pStyle w:val="2"/>
              <w:spacing w:before="120" w:after="0"/>
              <w:rPr>
                <w:rFonts w:ascii="Times New Roman" w:hAnsi="Times New Roman"/>
                <w:sz w:val="22"/>
                <w:szCs w:val="22"/>
              </w:rPr>
            </w:pPr>
            <w:r>
              <w:rPr>
                <w:rFonts w:ascii="Times New Roman" w:hAnsi="Times New Roman"/>
                <w:sz w:val="22"/>
                <w:szCs w:val="22"/>
                <w:u w:val="single"/>
                <w:lang w:eastAsia="en-US"/>
              </w:rPr>
              <w:t>Dëshmia 1</w:t>
            </w:r>
            <w:r>
              <w:rPr>
                <w:rFonts w:ascii="Times New Roman" w:hAnsi="Times New Roman"/>
                <w:sz w:val="22"/>
                <w:szCs w:val="22"/>
                <w:lang w:eastAsia="en-US"/>
              </w:rPr>
              <w:t>. Një deklarate e shkruar nën Betim, e nënshkruar  dhe e vulosur nga tenderuesi duke përdorur formën e përcaktuar ne dosjen e tenderit  - Aneksi 2.</w:t>
            </w:r>
          </w:p>
        </w:tc>
      </w:tr>
      <w:tr w14:paraId="745C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183" w:type="dxa"/>
          </w:tcPr>
          <w:p w14:paraId="2117FC30">
            <w:pPr>
              <w:spacing w:before="120" w:after="0"/>
              <w:rPr>
                <w:rStyle w:val="44"/>
                <w:color w:val="auto"/>
                <w:sz w:val="22"/>
                <w:szCs w:val="22"/>
              </w:rPr>
            </w:pPr>
            <w:r>
              <w:rPr>
                <w:sz w:val="22"/>
                <w:szCs w:val="22"/>
              </w:rPr>
              <w:t>Kërkesat e përshtatshmërisë profesionale</w:t>
            </w:r>
          </w:p>
        </w:tc>
        <w:tc>
          <w:tcPr>
            <w:tcW w:w="900" w:type="dxa"/>
          </w:tcPr>
          <w:p w14:paraId="30327616">
            <w:pPr>
              <w:pStyle w:val="15"/>
              <w:spacing w:before="120" w:after="0"/>
              <w:rPr>
                <w:sz w:val="22"/>
                <w:szCs w:val="22"/>
                <w:lang w:val="sq-AL"/>
              </w:rPr>
            </w:pPr>
            <w:r>
              <w:rPr>
                <w:sz w:val="22"/>
                <w:szCs w:val="22"/>
                <w:lang w:val="sq-AL"/>
              </w:rPr>
              <w:t>7.1</w:t>
            </w:r>
          </w:p>
        </w:tc>
        <w:tc>
          <w:tcPr>
            <w:tcW w:w="7267" w:type="dxa"/>
          </w:tcPr>
          <w:p w14:paraId="1AE8E9C2">
            <w:pPr>
              <w:pStyle w:val="2"/>
              <w:spacing w:before="120" w:after="0"/>
              <w:rPr>
                <w:rFonts w:ascii="Times New Roman" w:hAnsi="Times New Roman"/>
                <w:sz w:val="22"/>
                <w:szCs w:val="22"/>
                <w:lang w:eastAsia="en-US"/>
              </w:rPr>
            </w:pPr>
            <w:r>
              <w:rPr>
                <w:rFonts w:ascii="Times New Roman" w:hAnsi="Times New Roman"/>
                <w:sz w:val="22"/>
                <w:szCs w:val="22"/>
                <w:lang w:eastAsia="en-US"/>
              </w:rPr>
              <w:t>Kërkesa 1: Regjistrimi si operator ekonomik në regjistrin profesional, komercial dhe/apo regjistrin e ndërmarrjeve në vendin e juaj të themelimit;</w:t>
            </w:r>
          </w:p>
        </w:tc>
      </w:tr>
      <w:tr w14:paraId="1F93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183" w:type="dxa"/>
          </w:tcPr>
          <w:p w14:paraId="1BCFDE2A">
            <w:pPr>
              <w:spacing w:before="120"/>
              <w:rPr>
                <w:rStyle w:val="44"/>
                <w:color w:val="auto"/>
                <w:sz w:val="22"/>
                <w:szCs w:val="22"/>
              </w:rPr>
            </w:pPr>
          </w:p>
        </w:tc>
        <w:tc>
          <w:tcPr>
            <w:tcW w:w="900" w:type="dxa"/>
          </w:tcPr>
          <w:p w14:paraId="108AB047">
            <w:pPr>
              <w:pStyle w:val="15"/>
              <w:rPr>
                <w:sz w:val="22"/>
                <w:szCs w:val="22"/>
                <w:lang w:val="sq-AL"/>
              </w:rPr>
            </w:pPr>
            <w:r>
              <w:rPr>
                <w:sz w:val="22"/>
                <w:szCs w:val="22"/>
                <w:lang w:val="sq-AL"/>
              </w:rPr>
              <w:t>7.2</w:t>
            </w:r>
          </w:p>
        </w:tc>
        <w:tc>
          <w:tcPr>
            <w:tcW w:w="7267" w:type="dxa"/>
          </w:tcPr>
          <w:p w14:paraId="33993E0E">
            <w:pPr>
              <w:tabs>
                <w:tab w:val="left" w:pos="1050"/>
              </w:tabs>
              <w:spacing w:after="0"/>
              <w:rPr>
                <w:sz w:val="22"/>
                <w:szCs w:val="22"/>
              </w:rPr>
            </w:pPr>
          </w:p>
          <w:p w14:paraId="18EE63A6">
            <w:pPr>
              <w:tabs>
                <w:tab w:val="left" w:pos="1050"/>
              </w:tabs>
              <w:spacing w:after="0"/>
              <w:jc w:val="left"/>
              <w:rPr>
                <w:b/>
                <w:sz w:val="22"/>
                <w:szCs w:val="22"/>
              </w:rPr>
            </w:pPr>
            <w:r>
              <w:rPr>
                <w:b/>
                <w:sz w:val="22"/>
                <w:szCs w:val="22"/>
                <w:u w:val="single"/>
                <w:lang w:eastAsia="en-US"/>
              </w:rPr>
              <w:t>Dëshmia 1</w:t>
            </w:r>
            <w:r>
              <w:rPr>
                <w:rFonts w:eastAsia="Calibri"/>
                <w:b/>
                <w:bCs/>
                <w:iCs/>
                <w:sz w:val="22"/>
                <w:szCs w:val="22"/>
                <w:lang w:eastAsia="en-US"/>
              </w:rPr>
              <w:t>:</w:t>
            </w:r>
            <w:r>
              <w:rPr>
                <w:rFonts w:eastAsia="Calibri"/>
                <w:bCs/>
                <w:iCs/>
                <w:sz w:val="22"/>
                <w:szCs w:val="22"/>
                <w:lang w:eastAsia="en-US"/>
              </w:rPr>
              <w:t xml:space="preserve"> </w:t>
            </w:r>
            <w:r>
              <w:rPr>
                <w:rFonts w:ascii="Book Antiqua" w:hAnsi="Book Antiqua"/>
                <w:sz w:val="22"/>
                <w:szCs w:val="22"/>
              </w:rPr>
              <w:t xml:space="preserve">Një dokument i lëshuar  nga autoriteti përkatës publik në vendin e themelimit të operatorit ekonomik me të cilin evidentohet regjistrimi i operatorite konomik në atë vend - </w:t>
            </w:r>
            <w:r>
              <w:rPr>
                <w:rFonts w:ascii="Arial" w:hAnsi="Arial" w:cs="Arial"/>
                <w:sz w:val="20"/>
              </w:rPr>
              <w:t>(Çertifikata e regjistrimit të biznesit)</w:t>
            </w:r>
            <w:r>
              <w:rPr>
                <w:rFonts w:ascii="Arial" w:hAnsi="Arial" w:cs="Arial"/>
                <w:b/>
                <w:sz w:val="20"/>
              </w:rPr>
              <w:t>.</w:t>
            </w:r>
          </w:p>
          <w:p w14:paraId="5F5D7664">
            <w:pPr>
              <w:tabs>
                <w:tab w:val="left" w:pos="1050"/>
              </w:tabs>
              <w:spacing w:after="0"/>
              <w:rPr>
                <w:b/>
                <w:sz w:val="22"/>
                <w:szCs w:val="22"/>
              </w:rPr>
            </w:pPr>
          </w:p>
        </w:tc>
      </w:tr>
      <w:tr w14:paraId="2FB6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183" w:type="dxa"/>
          </w:tcPr>
          <w:p w14:paraId="01793B87">
            <w:pPr>
              <w:spacing w:before="120" w:after="120"/>
              <w:jc w:val="left"/>
              <w:rPr>
                <w:sz w:val="22"/>
                <w:szCs w:val="22"/>
              </w:rPr>
            </w:pPr>
            <w:r>
              <w:rPr>
                <w:sz w:val="22"/>
                <w:szCs w:val="22"/>
              </w:rPr>
              <w:t>Siguria e ekzekutimit</w:t>
            </w:r>
          </w:p>
        </w:tc>
        <w:tc>
          <w:tcPr>
            <w:tcW w:w="900" w:type="dxa"/>
          </w:tcPr>
          <w:p w14:paraId="22ED65B0">
            <w:pPr>
              <w:pStyle w:val="15"/>
              <w:spacing w:before="120"/>
              <w:rPr>
                <w:sz w:val="22"/>
                <w:szCs w:val="22"/>
                <w:lang w:val="sq-AL"/>
              </w:rPr>
            </w:pPr>
            <w:r>
              <w:rPr>
                <w:sz w:val="22"/>
                <w:szCs w:val="22"/>
                <w:lang w:val="sq-AL"/>
              </w:rPr>
              <w:t>14.1</w:t>
            </w:r>
          </w:p>
        </w:tc>
        <w:tc>
          <w:tcPr>
            <w:tcW w:w="7267" w:type="dxa"/>
          </w:tcPr>
          <w:p w14:paraId="0862DAE6">
            <w:pPr>
              <w:spacing w:before="120" w:after="120"/>
              <w:rPr>
                <w:i/>
                <w:sz w:val="22"/>
                <w:szCs w:val="22"/>
              </w:rPr>
            </w:pPr>
            <w:r>
              <w:rPr>
                <w:i/>
                <w:sz w:val="22"/>
                <w:szCs w:val="22"/>
              </w:rPr>
              <w:t>Kërkohet siguria e ekzekutimit,</w:t>
            </w:r>
          </w:p>
          <w:p w14:paraId="53744CE2">
            <w:pPr>
              <w:spacing w:before="120" w:after="120"/>
              <w:rPr>
                <w:sz w:val="22"/>
                <w:szCs w:val="22"/>
              </w:rPr>
            </w:pPr>
            <w:r>
              <w:rPr>
                <w:sz w:val="22"/>
                <w:szCs w:val="22"/>
              </w:rPr>
              <w:t>Në rast të dhënies së kontratës juve, ju duhet të postoni, para nënshkrimit të kontratës, sigurinë e ekzekutimit.</w:t>
            </w:r>
          </w:p>
        </w:tc>
      </w:tr>
      <w:tr w14:paraId="2768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183" w:type="dxa"/>
          </w:tcPr>
          <w:p w14:paraId="01925CC2">
            <w:pPr>
              <w:spacing w:before="120" w:after="120"/>
              <w:jc w:val="left"/>
              <w:rPr>
                <w:sz w:val="22"/>
                <w:szCs w:val="22"/>
              </w:rPr>
            </w:pPr>
          </w:p>
        </w:tc>
        <w:tc>
          <w:tcPr>
            <w:tcW w:w="900" w:type="dxa"/>
          </w:tcPr>
          <w:p w14:paraId="66FD38FE">
            <w:pPr>
              <w:pStyle w:val="15"/>
              <w:spacing w:before="120"/>
              <w:rPr>
                <w:sz w:val="22"/>
                <w:szCs w:val="22"/>
                <w:lang w:val="sq-AL"/>
              </w:rPr>
            </w:pPr>
            <w:r>
              <w:rPr>
                <w:sz w:val="22"/>
                <w:szCs w:val="22"/>
                <w:lang w:val="sq-AL"/>
              </w:rPr>
              <w:t>14.2</w:t>
            </w:r>
          </w:p>
        </w:tc>
        <w:tc>
          <w:tcPr>
            <w:tcW w:w="7267" w:type="dxa"/>
          </w:tcPr>
          <w:p w14:paraId="1B806329">
            <w:pPr>
              <w:spacing w:before="120" w:after="120"/>
              <w:rPr>
                <w:i/>
                <w:sz w:val="22"/>
                <w:szCs w:val="22"/>
                <w:highlight w:val="lightGray"/>
              </w:rPr>
            </w:pPr>
            <w:r>
              <w:rPr>
                <w:sz w:val="22"/>
                <w:szCs w:val="22"/>
              </w:rPr>
              <w:t xml:space="preserve">Shuma e Sigurisë së Ekzekutimit është: </w:t>
            </w:r>
            <w:bookmarkStart w:id="117" w:name="JamstvoPostotak1"/>
            <w:r>
              <w:rPr>
                <w:b/>
                <w:sz w:val="22"/>
                <w:szCs w:val="22"/>
              </w:rPr>
              <w:t>10</w:t>
            </w:r>
            <w:bookmarkEnd w:id="117"/>
            <w:r>
              <w:rPr>
                <w:sz w:val="22"/>
                <w:szCs w:val="22"/>
              </w:rPr>
              <w:t xml:space="preserve"> % e vlerës se kontrates me kohëzgjatje për periudhën prej </w:t>
            </w:r>
            <w:r>
              <w:rPr>
                <w:b/>
                <w:sz w:val="22"/>
                <w:szCs w:val="22"/>
              </w:rPr>
              <w:t>13 muajve</w:t>
            </w:r>
            <w:r>
              <w:rPr>
                <w:sz w:val="22"/>
                <w:szCs w:val="22"/>
              </w:rPr>
              <w:t xml:space="preserve"> nga data e nënshkrimit te kontratës.</w:t>
            </w:r>
          </w:p>
        </w:tc>
      </w:tr>
      <w:tr w14:paraId="2E8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83" w:type="dxa"/>
          </w:tcPr>
          <w:p w14:paraId="7BFF14A3">
            <w:pPr>
              <w:spacing w:after="0"/>
              <w:rPr>
                <w:sz w:val="22"/>
                <w:szCs w:val="22"/>
              </w:rPr>
            </w:pPr>
            <w:r>
              <w:rPr>
                <w:sz w:val="22"/>
                <w:szCs w:val="22"/>
              </w:rPr>
              <w:t>Periudha vlefshmërisësë tenderit</w:t>
            </w:r>
          </w:p>
        </w:tc>
        <w:tc>
          <w:tcPr>
            <w:tcW w:w="900" w:type="dxa"/>
          </w:tcPr>
          <w:p w14:paraId="03C7A0DD">
            <w:pPr>
              <w:pStyle w:val="15"/>
              <w:spacing w:after="0"/>
              <w:rPr>
                <w:sz w:val="22"/>
                <w:szCs w:val="22"/>
                <w:lang w:val="sq-AL"/>
              </w:rPr>
            </w:pPr>
            <w:r>
              <w:rPr>
                <w:sz w:val="22"/>
                <w:szCs w:val="22"/>
                <w:lang w:val="sq-AL"/>
              </w:rPr>
              <w:t>21.1</w:t>
            </w:r>
          </w:p>
        </w:tc>
        <w:tc>
          <w:tcPr>
            <w:tcW w:w="7267" w:type="dxa"/>
          </w:tcPr>
          <w:p w14:paraId="1C72E447">
            <w:pPr>
              <w:spacing w:after="0"/>
              <w:rPr>
                <w:b/>
                <w:sz w:val="22"/>
                <w:szCs w:val="22"/>
              </w:rPr>
            </w:pPr>
            <w:r>
              <w:rPr>
                <w:b/>
                <w:sz w:val="22"/>
                <w:szCs w:val="22"/>
              </w:rPr>
              <w:t xml:space="preserve">Periudha e vlefshmërisë se tenderit duhet  të jetë 90 ditë. </w:t>
            </w:r>
          </w:p>
          <w:p w14:paraId="7EAC2EC9">
            <w:pPr>
              <w:spacing w:after="0"/>
              <w:rPr>
                <w:sz w:val="22"/>
                <w:szCs w:val="22"/>
                <w:highlight w:val="lightGray"/>
              </w:rPr>
            </w:pPr>
          </w:p>
        </w:tc>
      </w:tr>
      <w:tr w14:paraId="0414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475CE7FC">
            <w:pPr>
              <w:spacing w:after="0"/>
              <w:jc w:val="left"/>
              <w:rPr>
                <w:sz w:val="22"/>
                <w:szCs w:val="22"/>
              </w:rPr>
            </w:pPr>
            <w:r>
              <w:rPr>
                <w:sz w:val="22"/>
                <w:szCs w:val="22"/>
                <w:lang w:eastAsia="en-US"/>
              </w:rPr>
              <w:t>Vulosja dhe Shënimi i Tenderëve</w:t>
            </w:r>
          </w:p>
        </w:tc>
        <w:tc>
          <w:tcPr>
            <w:tcW w:w="900" w:type="dxa"/>
          </w:tcPr>
          <w:p w14:paraId="523C9559">
            <w:pPr>
              <w:pStyle w:val="15"/>
              <w:spacing w:after="0"/>
              <w:rPr>
                <w:sz w:val="22"/>
                <w:szCs w:val="22"/>
                <w:lang w:val="sq-AL"/>
              </w:rPr>
            </w:pPr>
            <w:r>
              <w:rPr>
                <w:sz w:val="22"/>
                <w:szCs w:val="22"/>
                <w:lang w:val="sq-AL"/>
              </w:rPr>
              <w:t xml:space="preserve">22.1 </w:t>
            </w:r>
          </w:p>
        </w:tc>
        <w:tc>
          <w:tcPr>
            <w:tcW w:w="7267" w:type="dxa"/>
          </w:tcPr>
          <w:p w14:paraId="793A5943">
            <w:pPr>
              <w:spacing w:before="120" w:after="120"/>
              <w:rPr>
                <w:sz w:val="22"/>
                <w:szCs w:val="22"/>
              </w:rPr>
            </w:pPr>
            <w:r>
              <w:rPr>
                <w:sz w:val="22"/>
                <w:szCs w:val="22"/>
              </w:rPr>
              <w:t>Tenderi dorëzohet ne platformën elektronike ne adresën:</w:t>
            </w:r>
          </w:p>
          <w:p w14:paraId="4E7F48B0">
            <w:pPr>
              <w:spacing w:after="0"/>
              <w:rPr>
                <w:sz w:val="22"/>
                <w:szCs w:val="22"/>
                <w:highlight w:val="lightGray"/>
              </w:rPr>
            </w:pPr>
            <w:r>
              <w:fldChar w:fldCharType="begin"/>
            </w:r>
            <w:r>
              <w:instrText xml:space="preserve"> HYPERLINK "https://e-prokurimi.rks-gov.net" </w:instrText>
            </w:r>
            <w:r>
              <w:fldChar w:fldCharType="separate"/>
            </w:r>
            <w:r>
              <w:rPr>
                <w:rStyle w:val="44"/>
                <w:b/>
                <w:color w:val="auto"/>
                <w:sz w:val="22"/>
                <w:szCs w:val="22"/>
                <w:u w:val="single"/>
              </w:rPr>
              <w:t>https://e-prokurimi.rks-gov.net</w:t>
            </w:r>
            <w:r>
              <w:rPr>
                <w:rStyle w:val="44"/>
                <w:b/>
                <w:color w:val="auto"/>
                <w:sz w:val="22"/>
                <w:szCs w:val="22"/>
                <w:u w:val="single"/>
              </w:rPr>
              <w:fldChar w:fldCharType="end"/>
            </w:r>
          </w:p>
        </w:tc>
      </w:tr>
      <w:tr w14:paraId="1A57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83" w:type="dxa"/>
          </w:tcPr>
          <w:p w14:paraId="1F36C71A">
            <w:pPr>
              <w:spacing w:after="0"/>
              <w:jc w:val="left"/>
              <w:rPr>
                <w:sz w:val="22"/>
                <w:szCs w:val="22"/>
              </w:rPr>
            </w:pPr>
            <w:r>
              <w:rPr>
                <w:sz w:val="22"/>
                <w:szCs w:val="22"/>
                <w:lang w:eastAsia="en-US"/>
              </w:rPr>
              <w:t>Afati i fundit idorëzimit të tenderit</w:t>
            </w:r>
          </w:p>
        </w:tc>
        <w:tc>
          <w:tcPr>
            <w:tcW w:w="900" w:type="dxa"/>
          </w:tcPr>
          <w:p w14:paraId="1380F741">
            <w:pPr>
              <w:pStyle w:val="15"/>
              <w:spacing w:after="0"/>
              <w:rPr>
                <w:sz w:val="22"/>
                <w:szCs w:val="22"/>
                <w:lang w:val="sq-AL"/>
              </w:rPr>
            </w:pPr>
            <w:r>
              <w:rPr>
                <w:sz w:val="22"/>
                <w:szCs w:val="22"/>
                <w:lang w:val="sq-AL"/>
              </w:rPr>
              <w:t>23.1</w:t>
            </w:r>
          </w:p>
        </w:tc>
        <w:tc>
          <w:tcPr>
            <w:tcW w:w="7267" w:type="dxa"/>
          </w:tcPr>
          <w:p w14:paraId="559A450A">
            <w:pPr>
              <w:spacing w:after="0"/>
              <w:rPr>
                <w:sz w:val="22"/>
                <w:szCs w:val="22"/>
              </w:rPr>
            </w:pPr>
            <w:r>
              <w:rPr>
                <w:sz w:val="22"/>
                <w:szCs w:val="22"/>
              </w:rPr>
              <w:t>Afati i fundit për dorëzim e ofertave është data: 31.03.2026 n</w:t>
            </w:r>
            <w:r>
              <w:rPr>
                <w:b/>
                <w:sz w:val="22"/>
                <w:szCs w:val="22"/>
              </w:rPr>
              <w:t xml:space="preserve">ë ora 14:00  ne adresën </w:t>
            </w:r>
            <w:r>
              <w:fldChar w:fldCharType="begin"/>
            </w:r>
            <w:r>
              <w:instrText xml:space="preserve"> HYPERLINK "https://e-prokurimi.rks-gov.net" </w:instrText>
            </w:r>
            <w:r>
              <w:fldChar w:fldCharType="separate"/>
            </w:r>
            <w:r>
              <w:rPr>
                <w:rStyle w:val="44"/>
                <w:b/>
                <w:sz w:val="22"/>
                <w:szCs w:val="22"/>
                <w:u w:val="single"/>
              </w:rPr>
              <w:t>https://e-prokurimi.rks-gov.net</w:t>
            </w:r>
            <w:r>
              <w:rPr>
                <w:rStyle w:val="44"/>
                <w:b/>
                <w:sz w:val="22"/>
                <w:szCs w:val="22"/>
                <w:u w:val="single"/>
              </w:rPr>
              <w:fldChar w:fldCharType="end"/>
            </w:r>
          </w:p>
        </w:tc>
      </w:tr>
      <w:tr w14:paraId="511E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83" w:type="dxa"/>
          </w:tcPr>
          <w:p w14:paraId="282EE386">
            <w:pPr>
              <w:spacing w:before="120"/>
              <w:rPr>
                <w:sz w:val="22"/>
                <w:szCs w:val="22"/>
              </w:rPr>
            </w:pPr>
            <w:r>
              <w:rPr>
                <w:sz w:val="22"/>
                <w:szCs w:val="22"/>
              </w:rPr>
              <w:t>Hapja e Tenderit</w:t>
            </w:r>
          </w:p>
        </w:tc>
        <w:tc>
          <w:tcPr>
            <w:tcW w:w="900" w:type="dxa"/>
          </w:tcPr>
          <w:p w14:paraId="29DB6392">
            <w:pPr>
              <w:pStyle w:val="15"/>
              <w:rPr>
                <w:sz w:val="22"/>
                <w:szCs w:val="22"/>
                <w:lang w:val="sq-AL"/>
              </w:rPr>
            </w:pPr>
            <w:r>
              <w:rPr>
                <w:sz w:val="22"/>
                <w:szCs w:val="22"/>
                <w:lang w:val="sq-AL"/>
              </w:rPr>
              <w:t>26.1</w:t>
            </w:r>
          </w:p>
        </w:tc>
        <w:tc>
          <w:tcPr>
            <w:tcW w:w="7267" w:type="dxa"/>
          </w:tcPr>
          <w:p w14:paraId="6087B459">
            <w:pPr>
              <w:spacing w:after="0"/>
              <w:rPr>
                <w:sz w:val="22"/>
                <w:szCs w:val="22"/>
              </w:rPr>
            </w:pPr>
            <w:r>
              <w:rPr>
                <w:sz w:val="22"/>
                <w:szCs w:val="22"/>
              </w:rPr>
              <w:t xml:space="preserve">Hapja e tenderit do te bëhet me datën: </w:t>
            </w:r>
            <w:r>
              <w:rPr>
                <w:b/>
                <w:sz w:val="22"/>
                <w:szCs w:val="22"/>
              </w:rPr>
              <w:t xml:space="preserve">31.03.2026 në ora 14:00 </w:t>
            </w:r>
            <w:r>
              <w:rPr>
                <w:bCs/>
                <w:sz w:val="22"/>
                <w:szCs w:val="22"/>
              </w:rPr>
              <w:t>vendi</w:t>
            </w:r>
            <w:r>
              <w:rPr>
                <w:sz w:val="22"/>
                <w:szCs w:val="22"/>
              </w:rPr>
              <w:t xml:space="preserve">: </w:t>
            </w:r>
            <w:r>
              <w:rPr>
                <w:b/>
                <w:sz w:val="22"/>
                <w:szCs w:val="22"/>
              </w:rPr>
              <w:t>Agjencia Qendrore e Prokurimit Rruga Nena Terezë p/n, Ndërtesa e Gërmisë, Kati i V zyra Nr. A/504</w:t>
            </w:r>
          </w:p>
        </w:tc>
      </w:tr>
      <w:tr w14:paraId="4B7B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21A4F9EE">
            <w:pPr>
              <w:spacing w:before="120"/>
              <w:rPr>
                <w:sz w:val="22"/>
                <w:szCs w:val="22"/>
              </w:rPr>
            </w:pPr>
            <w:r>
              <w:rPr>
                <w:sz w:val="22"/>
                <w:szCs w:val="22"/>
              </w:rPr>
              <w:t>Ankesat</w:t>
            </w:r>
          </w:p>
        </w:tc>
        <w:tc>
          <w:tcPr>
            <w:tcW w:w="900" w:type="dxa"/>
          </w:tcPr>
          <w:p w14:paraId="5114D3AF">
            <w:pPr>
              <w:pStyle w:val="15"/>
              <w:rPr>
                <w:sz w:val="22"/>
                <w:szCs w:val="22"/>
                <w:lang w:val="sq-AL"/>
              </w:rPr>
            </w:pPr>
            <w:r>
              <w:rPr>
                <w:sz w:val="22"/>
                <w:szCs w:val="22"/>
                <w:lang w:val="sq-AL"/>
              </w:rPr>
              <w:t>31.3</w:t>
            </w:r>
          </w:p>
        </w:tc>
        <w:tc>
          <w:tcPr>
            <w:tcW w:w="7267" w:type="dxa"/>
          </w:tcPr>
          <w:p w14:paraId="2709D191">
            <w:pPr>
              <w:spacing w:before="120" w:after="120"/>
              <w:jc w:val="left"/>
              <w:rPr>
                <w:bCs/>
                <w:sz w:val="22"/>
                <w:szCs w:val="22"/>
              </w:rPr>
            </w:pPr>
            <w:r>
              <w:rPr>
                <w:bCs/>
                <w:sz w:val="22"/>
                <w:szCs w:val="22"/>
              </w:rPr>
              <w:t xml:space="preserve">Çdo palë e interesuar mund të bëjë ankesë pranë Autoritetit Kontraktues, në bazë të nenit 108/A </w:t>
            </w:r>
            <w:r>
              <w:rPr>
                <w:sz w:val="22"/>
                <w:szCs w:val="22"/>
              </w:rPr>
              <w:t xml:space="preserve">të Ligjit Nr. 04/L-042 për Prokurimin Publik  të Republikës se Kosovës, i ndryshuar dhe plotësuar me ligjin Nr. 04/L-237, ligjin Nr. 05/L-068 dhe ligjin Nr. 05/L-092 </w:t>
            </w:r>
            <w:r>
              <w:rPr>
                <w:bCs/>
                <w:sz w:val="22"/>
                <w:szCs w:val="22"/>
              </w:rPr>
              <w:t>në adresën e specifikuar në adresën e mëposhtme.</w:t>
            </w:r>
          </w:p>
          <w:p w14:paraId="3EB97E38">
            <w:pPr>
              <w:spacing w:before="120" w:after="120"/>
              <w:rPr>
                <w:sz w:val="22"/>
                <w:szCs w:val="22"/>
              </w:rPr>
            </w:pPr>
            <w:r>
              <w:rPr>
                <w:b/>
                <w:bCs/>
                <w:sz w:val="22"/>
                <w:szCs w:val="22"/>
              </w:rPr>
              <w:t xml:space="preserve">Adresa e autoritetit kontraktues: </w:t>
            </w:r>
            <w:r>
              <w:rPr>
                <w:b/>
                <w:sz w:val="22"/>
                <w:szCs w:val="22"/>
              </w:rPr>
              <w:t>Rruga Nena Terezë p/n, Ndërtesa e Gërmisë, Kati i V zyra Nr. A/504.</w:t>
            </w:r>
            <w:r>
              <w:rPr>
                <w:b/>
                <w:bCs/>
                <w:sz w:val="22"/>
                <w:szCs w:val="22"/>
              </w:rPr>
              <w:t xml:space="preserve"> </w:t>
            </w:r>
            <w:r>
              <w:rPr>
                <w:b/>
                <w:color w:val="000000"/>
                <w:sz w:val="22"/>
                <w:szCs w:val="22"/>
              </w:rPr>
              <w:t>Qyteti</w:t>
            </w:r>
            <w:r>
              <w:rPr>
                <w:b/>
                <w:sz w:val="22"/>
                <w:szCs w:val="22"/>
              </w:rPr>
              <w:t>: Prishtinë gjegjësisht në</w:t>
            </w:r>
            <w:r>
              <w:rPr>
                <w:sz w:val="22"/>
                <w:szCs w:val="22"/>
              </w:rPr>
              <w:t xml:space="preserve"> platformën elektronike ne adresën:</w:t>
            </w:r>
          </w:p>
          <w:p w14:paraId="6D2BFC50">
            <w:pPr>
              <w:tabs>
                <w:tab w:val="left" w:pos="284"/>
                <w:tab w:val="left" w:pos="709"/>
                <w:tab w:val="left" w:pos="993"/>
              </w:tabs>
              <w:spacing w:after="120"/>
              <w:ind w:right="-878"/>
              <w:rPr>
                <w:sz w:val="22"/>
                <w:szCs w:val="22"/>
                <w:highlight w:val="lightGray"/>
              </w:rPr>
            </w:pPr>
            <w:r>
              <w:fldChar w:fldCharType="begin"/>
            </w:r>
            <w:r>
              <w:instrText xml:space="preserve"> HYPERLINK "https://e-prokurimi.rks-gov.net" </w:instrText>
            </w:r>
            <w:r>
              <w:fldChar w:fldCharType="separate"/>
            </w:r>
            <w:r>
              <w:rPr>
                <w:rStyle w:val="44"/>
                <w:b/>
                <w:sz w:val="22"/>
                <w:szCs w:val="22"/>
                <w:u w:val="single"/>
              </w:rPr>
              <w:t>https://e-prokurimi.rks-gov.net</w:t>
            </w:r>
            <w:r>
              <w:rPr>
                <w:rStyle w:val="44"/>
                <w:b/>
                <w:sz w:val="22"/>
                <w:szCs w:val="22"/>
                <w:u w:val="single"/>
              </w:rPr>
              <w:fldChar w:fldCharType="end"/>
            </w:r>
          </w:p>
        </w:tc>
      </w:tr>
    </w:tbl>
    <w:p w14:paraId="5BAA1A55">
      <w:pPr>
        <w:pStyle w:val="2"/>
        <w:rPr>
          <w:rFonts w:ascii="Times New Roman" w:hAnsi="Times New Roman"/>
          <w:sz w:val="22"/>
          <w:szCs w:val="22"/>
        </w:rPr>
      </w:pPr>
    </w:p>
    <w:p w14:paraId="27C1031A">
      <w:pPr>
        <w:pStyle w:val="2"/>
        <w:rPr>
          <w:rFonts w:ascii="Times New Roman" w:hAnsi="Times New Roman"/>
          <w:sz w:val="22"/>
          <w:szCs w:val="22"/>
        </w:rPr>
      </w:pPr>
    </w:p>
    <w:p w14:paraId="32A0B637">
      <w:pPr>
        <w:rPr>
          <w:sz w:val="22"/>
          <w:szCs w:val="22"/>
          <w:lang w:val="en-GB"/>
        </w:rPr>
      </w:pPr>
    </w:p>
    <w:p w14:paraId="5A7B378B">
      <w:pPr>
        <w:rPr>
          <w:sz w:val="22"/>
          <w:szCs w:val="22"/>
          <w:lang w:val="en-GB"/>
        </w:rPr>
      </w:pPr>
    </w:p>
    <w:p w14:paraId="440EA7FD">
      <w:pPr>
        <w:rPr>
          <w:sz w:val="22"/>
          <w:szCs w:val="22"/>
          <w:lang w:val="en-GB"/>
        </w:rPr>
      </w:pPr>
    </w:p>
    <w:p w14:paraId="014F5C3F">
      <w:pPr>
        <w:rPr>
          <w:sz w:val="22"/>
          <w:szCs w:val="22"/>
          <w:lang w:val="en-GB"/>
        </w:rPr>
      </w:pPr>
    </w:p>
    <w:p w14:paraId="5C928D5D">
      <w:pPr>
        <w:rPr>
          <w:sz w:val="22"/>
          <w:szCs w:val="22"/>
          <w:lang w:val="en-GB"/>
        </w:rPr>
      </w:pPr>
    </w:p>
    <w:p w14:paraId="7D4616A1">
      <w:pPr>
        <w:rPr>
          <w:sz w:val="22"/>
          <w:szCs w:val="22"/>
          <w:lang w:val="en-GB"/>
        </w:rPr>
      </w:pPr>
    </w:p>
    <w:p w14:paraId="04DF0EBC">
      <w:pPr>
        <w:rPr>
          <w:sz w:val="22"/>
          <w:szCs w:val="22"/>
          <w:lang w:val="en-GB"/>
        </w:rPr>
      </w:pPr>
    </w:p>
    <w:p w14:paraId="7C44F9AA">
      <w:pPr>
        <w:rPr>
          <w:sz w:val="22"/>
          <w:szCs w:val="22"/>
          <w:lang w:val="en-GB"/>
        </w:rPr>
      </w:pPr>
    </w:p>
    <w:p w14:paraId="7D2AF7E0">
      <w:pPr>
        <w:rPr>
          <w:sz w:val="22"/>
          <w:szCs w:val="22"/>
          <w:lang w:val="en-GB"/>
        </w:rPr>
      </w:pPr>
    </w:p>
    <w:p w14:paraId="0278172A">
      <w:bookmarkStart w:id="118" w:name="_Toc308692908"/>
      <w:bookmarkStart w:id="119" w:name="_Hlk225338490"/>
      <w:bookmarkStart w:id="134" w:name="_GoBack"/>
      <w:bookmarkEnd w:id="134"/>
      <w:r>
        <w:t>continuity of spectrum monitoring services.</w:t>
      </w:r>
    </w:p>
    <w:p w14:paraId="541D5610">
      <w:pPr>
        <w:rPr>
          <w:b/>
          <w:bCs/>
        </w:rPr>
      </w:pPr>
      <w:r>
        <w:rPr>
          <w:b/>
          <w:bCs/>
        </w:rPr>
        <w:t>6. Service Level Requirements</w:t>
      </w:r>
    </w:p>
    <w:p w14:paraId="047B7950">
      <w:r>
        <w:t xml:space="preserve">The service provider shall ensure the delivery of </w:t>
      </w:r>
      <w:r>
        <w:rPr>
          <w:b/>
          <w:bCs/>
        </w:rPr>
        <w:t>extended warranty and support services</w:t>
      </w:r>
      <w:r>
        <w:t xml:space="preserve"> in accordance with defined Service Level principles aimed at guaranteeing continuous system availability, operational continuity, and timely restoration of services for the National Spectrum Monitoring System (NSMS) following the expiration of the original manufacturer warranty period.</w:t>
      </w:r>
    </w:p>
    <w:p w14:paraId="0FE99FD9">
      <w:r>
        <w:t>Service Level performance shall ensure uninterrupted execution of spectrum monitoring and regulatory activities carried out by ARKEP and shall maintain the level of technical support, system reliability, and operational performance equivalent to manufacturer-supported operation. All services shall be aligned with internationally recognized operational and maintenance best practices, manufacturer specifications, and CEPT/ECC and ITU-R recommendations applicable to spectrum monitoring systems.</w:t>
      </w:r>
    </w:p>
    <w:p w14:paraId="10A5FAA3">
      <w:r>
        <w:t>The service provider shall ensure continuity of manufacturer-grade support, preserving system integrity, interoperability, and performance throughout the extended warranty period.</w:t>
      </w:r>
    </w:p>
    <w:p w14:paraId="4A8CF889">
      <w:r>
        <w:t>At a minimum, the service provider shall ensure the following service level commitments:</w:t>
      </w:r>
    </w:p>
    <w:p w14:paraId="1D2777E3">
      <w:pPr>
        <w:rPr>
          <w:b/>
          <w:bCs/>
        </w:rPr>
      </w:pPr>
      <w:r>
        <w:rPr>
          <w:b/>
          <w:bCs/>
        </w:rPr>
        <w:t>6.1 Incident Classification</w:t>
      </w:r>
    </w:p>
    <w:p w14:paraId="0E2F0A52">
      <w:r>
        <w:t>All incidents shall be categorized according to operational impact as follows:</w:t>
      </w:r>
    </w:p>
    <w:tbl>
      <w:tblPr>
        <w:tblStyle w:val="12"/>
        <w:tblW w:w="0" w:type="auto"/>
        <w:tblCellSpacing w:w="15" w:type="dxa"/>
        <w:tblInd w:w="0" w:type="dxa"/>
        <w:tblLayout w:type="autofit"/>
        <w:tblCellMar>
          <w:top w:w="0" w:type="dxa"/>
          <w:left w:w="108" w:type="dxa"/>
          <w:bottom w:w="0" w:type="dxa"/>
          <w:right w:w="108" w:type="dxa"/>
        </w:tblCellMar>
      </w:tblPr>
      <w:tblGrid>
        <w:gridCol w:w="2182"/>
        <w:gridCol w:w="6288"/>
      </w:tblGrid>
      <w:tr w14:paraId="58890192">
        <w:tblPrEx>
          <w:tblCellMar>
            <w:top w:w="0" w:type="dxa"/>
            <w:left w:w="108" w:type="dxa"/>
            <w:bottom w:w="0" w:type="dxa"/>
            <w:right w:w="108" w:type="dxa"/>
          </w:tblCellMar>
        </w:tblPrEx>
        <w:trPr>
          <w:tblHeader/>
          <w:tblCellSpacing w:w="15" w:type="dxa"/>
        </w:trPr>
        <w:tc>
          <w:tcPr>
            <w:tcW w:w="0" w:type="auto"/>
            <w:tcMar>
              <w:top w:w="15" w:type="dxa"/>
              <w:left w:w="15" w:type="dxa"/>
              <w:bottom w:w="15" w:type="dxa"/>
              <w:right w:w="15" w:type="dxa"/>
            </w:tcMar>
            <w:vAlign w:val="center"/>
          </w:tcPr>
          <w:p w14:paraId="3DABB0E0">
            <w:pPr>
              <w:rPr>
                <w:b/>
                <w:bCs/>
              </w:rPr>
            </w:pPr>
            <w:r>
              <w:rPr>
                <w:b/>
                <w:bCs/>
              </w:rPr>
              <w:t>Severity</w:t>
            </w:r>
          </w:p>
        </w:tc>
        <w:tc>
          <w:tcPr>
            <w:tcW w:w="0" w:type="auto"/>
            <w:tcMar>
              <w:top w:w="15" w:type="dxa"/>
              <w:left w:w="15" w:type="dxa"/>
              <w:bottom w:w="15" w:type="dxa"/>
              <w:right w:w="15" w:type="dxa"/>
            </w:tcMar>
            <w:vAlign w:val="center"/>
          </w:tcPr>
          <w:p w14:paraId="7EAD46FB">
            <w:pPr>
              <w:rPr>
                <w:b/>
                <w:bCs/>
              </w:rPr>
            </w:pPr>
            <w:r>
              <w:rPr>
                <w:b/>
                <w:bCs/>
              </w:rPr>
              <w:t>Description</w:t>
            </w:r>
          </w:p>
        </w:tc>
      </w:tr>
      <w:tr w14:paraId="784BC1F8">
        <w:tblPrEx>
          <w:tblCellMar>
            <w:top w:w="0" w:type="dxa"/>
            <w:left w:w="108" w:type="dxa"/>
            <w:bottom w:w="0" w:type="dxa"/>
            <w:right w:w="108" w:type="dxa"/>
          </w:tblCellMar>
        </w:tblPrEx>
        <w:trPr>
          <w:tblCellSpacing w:w="15" w:type="dxa"/>
        </w:trPr>
        <w:tc>
          <w:tcPr>
            <w:tcW w:w="0" w:type="auto"/>
            <w:tcMar>
              <w:top w:w="15" w:type="dxa"/>
              <w:left w:w="15" w:type="dxa"/>
              <w:bottom w:w="15" w:type="dxa"/>
              <w:right w:w="15" w:type="dxa"/>
            </w:tcMar>
            <w:vAlign w:val="center"/>
          </w:tcPr>
          <w:p w14:paraId="1B0E1795">
            <w:r>
              <w:rPr>
                <w:b/>
                <w:bCs/>
              </w:rPr>
              <w:t>Critical (S1)</w:t>
            </w:r>
          </w:p>
        </w:tc>
        <w:tc>
          <w:tcPr>
            <w:tcW w:w="0" w:type="auto"/>
            <w:tcMar>
              <w:top w:w="15" w:type="dxa"/>
              <w:left w:w="15" w:type="dxa"/>
              <w:bottom w:w="15" w:type="dxa"/>
              <w:right w:w="15" w:type="dxa"/>
            </w:tcMar>
            <w:vAlign w:val="center"/>
          </w:tcPr>
          <w:p w14:paraId="06AB64EE">
            <w:r>
              <w:t>Complete loss of monitoring capability or Control Center outage</w:t>
            </w:r>
          </w:p>
        </w:tc>
      </w:tr>
      <w:tr w14:paraId="7D4640AD">
        <w:tblPrEx>
          <w:tblCellMar>
            <w:top w:w="0" w:type="dxa"/>
            <w:left w:w="108" w:type="dxa"/>
            <w:bottom w:w="0" w:type="dxa"/>
            <w:right w:w="108" w:type="dxa"/>
          </w:tblCellMar>
        </w:tblPrEx>
        <w:trPr>
          <w:tblCellSpacing w:w="15" w:type="dxa"/>
        </w:trPr>
        <w:tc>
          <w:tcPr>
            <w:tcW w:w="0" w:type="auto"/>
            <w:tcMar>
              <w:top w:w="15" w:type="dxa"/>
              <w:left w:w="15" w:type="dxa"/>
              <w:bottom w:w="15" w:type="dxa"/>
              <w:right w:w="15" w:type="dxa"/>
            </w:tcMar>
            <w:vAlign w:val="center"/>
          </w:tcPr>
          <w:p w14:paraId="0D5D3A30">
            <w:r>
              <w:rPr>
                <w:b/>
                <w:bCs/>
              </w:rPr>
              <w:t>Major (S2)</w:t>
            </w:r>
          </w:p>
        </w:tc>
        <w:tc>
          <w:tcPr>
            <w:tcW w:w="0" w:type="auto"/>
            <w:tcMar>
              <w:top w:w="15" w:type="dxa"/>
              <w:left w:w="15" w:type="dxa"/>
              <w:bottom w:w="15" w:type="dxa"/>
              <w:right w:w="15" w:type="dxa"/>
            </w:tcMar>
            <w:vAlign w:val="center"/>
          </w:tcPr>
          <w:p w14:paraId="4C8DF6EA">
            <w:r>
              <w:t>Significant degradation affecting monitoring performance</w:t>
            </w:r>
          </w:p>
        </w:tc>
      </w:tr>
      <w:tr w14:paraId="00D5E99D">
        <w:tblPrEx>
          <w:tblCellMar>
            <w:top w:w="0" w:type="dxa"/>
            <w:left w:w="108" w:type="dxa"/>
            <w:bottom w:w="0" w:type="dxa"/>
            <w:right w:w="108" w:type="dxa"/>
          </w:tblCellMar>
        </w:tblPrEx>
        <w:trPr>
          <w:tblCellSpacing w:w="15" w:type="dxa"/>
        </w:trPr>
        <w:tc>
          <w:tcPr>
            <w:tcW w:w="0" w:type="auto"/>
            <w:tcMar>
              <w:top w:w="15" w:type="dxa"/>
              <w:left w:w="15" w:type="dxa"/>
              <w:bottom w:w="15" w:type="dxa"/>
              <w:right w:w="15" w:type="dxa"/>
            </w:tcMar>
            <w:vAlign w:val="center"/>
          </w:tcPr>
          <w:p w14:paraId="0B2C2C9B">
            <w:r>
              <w:rPr>
                <w:b/>
                <w:bCs/>
              </w:rPr>
              <w:t>Minor (S3)</w:t>
            </w:r>
          </w:p>
        </w:tc>
        <w:tc>
          <w:tcPr>
            <w:tcW w:w="0" w:type="auto"/>
            <w:tcMar>
              <w:top w:w="15" w:type="dxa"/>
              <w:left w:w="15" w:type="dxa"/>
              <w:bottom w:w="15" w:type="dxa"/>
              <w:right w:w="15" w:type="dxa"/>
            </w:tcMar>
            <w:vAlign w:val="center"/>
          </w:tcPr>
          <w:p w14:paraId="38B7DE3F">
            <w:r>
              <w:t>Limited malfunction without major operational impact</w:t>
            </w:r>
          </w:p>
        </w:tc>
      </w:tr>
      <w:tr w14:paraId="66688778">
        <w:tblPrEx>
          <w:tblCellMar>
            <w:top w:w="0" w:type="dxa"/>
            <w:left w:w="108" w:type="dxa"/>
            <w:bottom w:w="0" w:type="dxa"/>
            <w:right w:w="108" w:type="dxa"/>
          </w:tblCellMar>
        </w:tblPrEx>
        <w:trPr>
          <w:tblCellSpacing w:w="15" w:type="dxa"/>
        </w:trPr>
        <w:tc>
          <w:tcPr>
            <w:tcW w:w="0" w:type="auto"/>
            <w:tcMar>
              <w:top w:w="15" w:type="dxa"/>
              <w:left w:w="15" w:type="dxa"/>
              <w:bottom w:w="15" w:type="dxa"/>
              <w:right w:w="15" w:type="dxa"/>
            </w:tcMar>
            <w:vAlign w:val="center"/>
          </w:tcPr>
          <w:p w14:paraId="296FCD88">
            <w:r>
              <w:rPr>
                <w:b/>
                <w:bCs/>
              </w:rPr>
              <w:t>Service Request (S4)</w:t>
            </w:r>
          </w:p>
        </w:tc>
        <w:tc>
          <w:tcPr>
            <w:tcW w:w="0" w:type="auto"/>
            <w:tcMar>
              <w:top w:w="15" w:type="dxa"/>
              <w:left w:w="15" w:type="dxa"/>
              <w:bottom w:w="15" w:type="dxa"/>
              <w:right w:w="15" w:type="dxa"/>
            </w:tcMar>
            <w:vAlign w:val="center"/>
          </w:tcPr>
          <w:p w14:paraId="412C954D">
            <w:r>
              <w:t>Configuration support or non-fault request</w:t>
            </w:r>
          </w:p>
        </w:tc>
      </w:tr>
    </w:tbl>
    <w:p w14:paraId="5321FCAE">
      <w:pPr>
        <w:rPr>
          <w:rFonts w:asciiTheme="minorHAnsi" w:hAnsiTheme="minorHAnsi" w:cstheme="minorBidi"/>
          <w:b/>
          <w:bCs/>
          <w:sz w:val="22"/>
          <w:szCs w:val="22"/>
          <w:lang w:val="en-US" w:eastAsia="en-US"/>
        </w:rPr>
      </w:pPr>
      <w:r>
        <w:rPr>
          <w:b/>
          <w:bCs/>
        </w:rPr>
        <w:t>6.2 Response and Resolution Time Requirements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96"/>
        <w:gridCol w:w="1746"/>
        <w:gridCol w:w="2187"/>
        <w:gridCol w:w="1922"/>
      </w:tblGrid>
      <w:tr w14:paraId="0D94C77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blHeader/>
          <w:tblCellSpacing w:w="15" w:type="dxa"/>
        </w:trPr>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59E7833D">
            <w:pPr>
              <w:rPr>
                <w:b/>
                <w:bCs/>
              </w:rPr>
            </w:pPr>
            <w:r>
              <w:rPr>
                <w:b/>
                <w:bCs/>
              </w:rPr>
              <w:t>Severity</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21A2A7CF">
            <w:pPr>
              <w:rPr>
                <w:b/>
                <w:bCs/>
              </w:rPr>
            </w:pPr>
            <w:r>
              <w:rPr>
                <w:b/>
                <w:bCs/>
              </w:rPr>
              <w:t>Response Time</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780C7235">
            <w:pPr>
              <w:rPr>
                <w:b/>
                <w:bCs/>
              </w:rPr>
            </w:pPr>
            <w:r>
              <w:rPr>
                <w:b/>
                <w:bCs/>
              </w:rPr>
              <w:t>On-Site Intervention</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10865C6F">
            <w:pPr>
              <w:rPr>
                <w:b/>
                <w:bCs/>
              </w:rPr>
            </w:pPr>
            <w:r>
              <w:rPr>
                <w:b/>
                <w:bCs/>
              </w:rPr>
              <w:t>Resolution Target</w:t>
            </w:r>
          </w:p>
        </w:tc>
      </w:tr>
      <w:tr w14:paraId="7317C8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blCellSpacing w:w="15" w:type="dxa"/>
        </w:trPr>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1FB61D51">
            <w:r>
              <w:rPr>
                <w:b/>
                <w:bCs/>
              </w:rPr>
              <w:t>S1 – Critical</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288F7F86">
            <w:r>
              <w:t>≤ 6 hours</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241BFC04">
            <w:r>
              <w:t xml:space="preserve">       ≤ 48 hours</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609FF21A">
            <w:r>
              <w:t>≤ 96 hours</w:t>
            </w:r>
          </w:p>
        </w:tc>
      </w:tr>
      <w:tr w14:paraId="5425857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blCellSpacing w:w="15" w:type="dxa"/>
        </w:trPr>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727A9100">
            <w:r>
              <w:rPr>
                <w:b/>
                <w:bCs/>
              </w:rPr>
              <w:t>S2 – Major</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6319AC74">
            <w:r>
              <w:t>≤  2 business day</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6AF9B6EE">
            <w:r>
              <w:t xml:space="preserve">        ≤ 72 hours</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08EBABAB">
            <w:r>
              <w:t>≤ 120 hours</w:t>
            </w:r>
          </w:p>
        </w:tc>
      </w:tr>
      <w:tr w14:paraId="45D745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blCellSpacing w:w="15" w:type="dxa"/>
        </w:trPr>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3E7E88AA">
            <w:r>
              <w:rPr>
                <w:b/>
                <w:bCs/>
              </w:rPr>
              <w:t>S3 – Minor</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174DB874">
            <w:r>
              <w:t>≤ 3 business day</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1BA9F3B0">
            <w:r>
              <w:t xml:space="preserve">           As agreed</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61F66D98">
            <w:r>
              <w:t>≤ 30 days</w:t>
            </w:r>
          </w:p>
        </w:tc>
      </w:tr>
      <w:tr w14:paraId="6C2A328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blCellSpacing w:w="15" w:type="dxa"/>
        </w:trPr>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6E81B01C">
            <w:r>
              <w:rPr>
                <w:b/>
                <w:bCs/>
              </w:rPr>
              <w:t>S4 – Request</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004E0395">
            <w:r>
              <w:t>≤ 5 business days</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4BEC23B3">
            <w:r>
              <w:t xml:space="preserve">       Not required</w:t>
            </w:r>
          </w:p>
        </w:tc>
        <w:tc>
          <w:tcPr>
            <w:tcW w:w="0" w:type="auto"/>
            <w:tcBorders>
              <w:top w:val="single" w:color="auto" w:sz="4" w:space="0"/>
              <w:left w:val="nil"/>
              <w:bottom w:val="single" w:color="auto" w:sz="4" w:space="0"/>
              <w:right w:val="nil"/>
            </w:tcBorders>
            <w:tcMar>
              <w:top w:w="15" w:type="dxa"/>
              <w:left w:w="15" w:type="dxa"/>
              <w:bottom w:w="15" w:type="dxa"/>
              <w:right w:w="15" w:type="dxa"/>
            </w:tcMar>
            <w:vAlign w:val="center"/>
          </w:tcPr>
          <w:p w14:paraId="3D226930">
            <w:r>
              <w:t>As scheduled</w:t>
            </w:r>
          </w:p>
        </w:tc>
      </w:tr>
    </w:tbl>
    <w:p w14:paraId="29E12196">
      <w:pPr>
        <w:rPr>
          <w:rFonts w:asciiTheme="minorHAnsi" w:hAnsiTheme="minorHAnsi" w:cstheme="minorBidi"/>
          <w:sz w:val="22"/>
          <w:szCs w:val="22"/>
          <w:lang w:val="en-US" w:eastAsia="en-US"/>
        </w:rPr>
      </w:pPr>
      <w:r>
        <w:rPr>
          <w:b/>
          <w:bCs/>
        </w:rPr>
        <w:t>Response Time</w:t>
      </w:r>
      <w:r>
        <w:t xml:space="preserve"> is defined as the elapsed time between incident notification and acknowledgement by the service provider.</w:t>
      </w:r>
    </w:p>
    <w:p w14:paraId="3CD24857">
      <w:pPr>
        <w:rPr>
          <w:b/>
          <w:bCs/>
        </w:rPr>
      </w:pPr>
      <w:r>
        <w:rPr>
          <w:b/>
          <w:bCs/>
        </w:rPr>
        <w:t>6.3 System Availability</w:t>
      </w:r>
    </w:p>
    <w:p w14:paraId="6A2E0B11">
      <w:r>
        <w:t>The service provider shall ensure minimum annual system availability as follows:</w:t>
      </w:r>
    </w:p>
    <w:p w14:paraId="036B86BD">
      <w:r>
        <w:t>The service provider shall ensure minimum annual system availability of &gt; 97% for the TCI Monitoring Station.</w:t>
      </w:r>
    </w:p>
    <w:p w14:paraId="4F1CA1ED">
      <w:r>
        <w:t>Planned maintenance periods approved by ARKEP shall be excluded from availability calculations.</w:t>
      </w:r>
    </w:p>
    <w:p w14:paraId="187CF3D1">
      <w:pPr>
        <w:rPr>
          <w:b/>
          <w:bCs/>
        </w:rPr>
      </w:pPr>
      <w:r>
        <w:rPr>
          <w:b/>
          <w:bCs/>
        </w:rPr>
        <w:t>6.4 Technical Support Availability</w:t>
      </w:r>
    </w:p>
    <w:p w14:paraId="0CA24FED">
      <w:r>
        <w:t>The service provider shall provide:</w:t>
      </w:r>
    </w:p>
    <w:p w14:paraId="49E0F703">
      <w:pPr>
        <w:numPr>
          <w:ilvl w:val="0"/>
          <w:numId w:val="23"/>
        </w:numPr>
        <w:spacing w:after="200" w:line="276" w:lineRule="auto"/>
        <w:jc w:val="left"/>
      </w:pPr>
      <w:r>
        <w:t>Remote technical support during official working hours;</w:t>
      </w:r>
    </w:p>
    <w:p w14:paraId="5671059B">
      <w:pPr>
        <w:numPr>
          <w:ilvl w:val="0"/>
          <w:numId w:val="23"/>
        </w:numPr>
        <w:spacing w:after="200" w:line="276" w:lineRule="auto"/>
        <w:jc w:val="left"/>
      </w:pPr>
      <w:r>
        <w:t>Qualified personnel capable of remote diagnostics and on-site intervention;</w:t>
      </w:r>
    </w:p>
    <w:p w14:paraId="48F0EB24">
      <w:pPr>
        <w:numPr>
          <w:ilvl w:val="0"/>
          <w:numId w:val="23"/>
        </w:numPr>
        <w:spacing w:after="200" w:line="276" w:lineRule="auto"/>
        <w:jc w:val="left"/>
      </w:pPr>
      <w:r>
        <w:t>Secure remote access capability where technically feasible.</w:t>
      </w:r>
    </w:p>
    <w:p w14:paraId="5D79AA21">
      <w:pPr>
        <w:rPr>
          <w:b/>
          <w:bCs/>
        </w:rPr>
      </w:pPr>
      <w:r>
        <w:rPr>
          <w:b/>
          <w:bCs/>
        </w:rPr>
        <w:t>6.5 Reporting and Performance Monitoring</w:t>
      </w:r>
    </w:p>
    <w:p w14:paraId="1F809CF7">
      <w:r>
        <w:t>The service provider shall submit:</w:t>
      </w:r>
    </w:p>
    <w:p w14:paraId="24127591">
      <w:pPr>
        <w:numPr>
          <w:ilvl w:val="0"/>
          <w:numId w:val="24"/>
        </w:numPr>
        <w:spacing w:after="200" w:line="276" w:lineRule="auto"/>
        <w:jc w:val="left"/>
      </w:pPr>
      <w:r>
        <w:t>Quarterly maintenance reports;</w:t>
      </w:r>
    </w:p>
    <w:p w14:paraId="7334FA3D">
      <w:pPr>
        <w:numPr>
          <w:ilvl w:val="0"/>
          <w:numId w:val="24"/>
        </w:numPr>
        <w:spacing w:after="200" w:line="276" w:lineRule="auto"/>
        <w:jc w:val="left"/>
      </w:pPr>
      <w:r>
        <w:t>Incident statistics and downtime analysis;</w:t>
      </w:r>
    </w:p>
    <w:p w14:paraId="5270E9B3">
      <w:pPr>
        <w:numPr>
          <w:ilvl w:val="0"/>
          <w:numId w:val="24"/>
        </w:numPr>
        <w:spacing w:after="200" w:line="276" w:lineRule="auto"/>
        <w:jc w:val="left"/>
      </w:pPr>
      <w:r>
        <w:t>Recommendations for system optimization and improvement.</w:t>
      </w:r>
    </w:p>
    <w:p w14:paraId="50C25576">
      <w:pPr>
        <w:rPr>
          <w:b/>
          <w:bCs/>
        </w:rPr>
      </w:pPr>
      <w:r>
        <w:rPr>
          <w:b/>
          <w:bCs/>
        </w:rPr>
        <w:t>6.6 Documentation and Audit Compliance</w:t>
      </w:r>
    </w:p>
    <w:p w14:paraId="4A557D1D">
      <w:r>
        <w:t>All maintenance activities, incidents, interventions, and configuration changes shall be documented and maintained in an auditable format accessible to ARKEP upon request.</w:t>
      </w:r>
    </w:p>
    <w:p w14:paraId="4CAD94EE">
      <w:pPr>
        <w:rPr>
          <w:b/>
          <w:bCs/>
        </w:rPr>
      </w:pPr>
      <w:r>
        <w:rPr>
          <w:b/>
          <w:bCs/>
        </w:rPr>
        <w:t>7. Required Qualifications</w:t>
      </w:r>
    </w:p>
    <w:p w14:paraId="3A374EAB">
      <w:r>
        <w:t>The company shall demonstrate the technical competence, professional experience, and organizational capacity necessary to provide extended warranty and support services for a nationwide spectrum monitoring infrastructure of critical regulatory importance.</w:t>
      </w:r>
    </w:p>
    <w:p w14:paraId="76D1D8A6">
      <w:r>
        <w:t>Given the highly integrated and proprietary nature of the National Spectrum Monitoring System (NSMS), bidders shall demonstrate the capability to maintain continuity of technical support consistent with the services provided during the system implementation and original warranty phase.</w:t>
      </w:r>
    </w:p>
    <w:p w14:paraId="6B715309">
      <w:r>
        <w:t>Bidders shall provide documented evidence demonstrating compliance with the following minimum qualification requirements:</w:t>
      </w:r>
    </w:p>
    <w:p w14:paraId="758B6E7C">
      <w:pPr>
        <w:numPr>
          <w:ilvl w:val="0"/>
          <w:numId w:val="25"/>
        </w:numPr>
        <w:spacing w:after="200" w:line="276" w:lineRule="auto"/>
        <w:jc w:val="left"/>
      </w:pPr>
      <w:r>
        <w:t>Proven experience in spectrum monitoring systems, including installation, integration, maintenance, or operational support of national or regional radio spectrum monitoring infrastructures or equivalent RF monitoring solutions;</w:t>
      </w:r>
    </w:p>
    <w:p w14:paraId="011A92BF">
      <w:pPr>
        <w:numPr>
          <w:ilvl w:val="0"/>
          <w:numId w:val="25"/>
        </w:numPr>
        <w:spacing w:after="200" w:line="276" w:lineRule="auto"/>
        <w:jc w:val="left"/>
      </w:pPr>
      <w:r>
        <w:t>Proven technical knowledge of the implemented NSMS architecture, including RF monitoring equipment, centralized control software, system integration components, and communication interfaces between monitoring stations and the Main Control Center;</w:t>
      </w:r>
    </w:p>
    <w:p w14:paraId="737C5B10">
      <w:pPr>
        <w:numPr>
          <w:ilvl w:val="0"/>
          <w:numId w:val="25"/>
        </w:numPr>
        <w:spacing w:after="200" w:line="276" w:lineRule="auto"/>
        <w:jc w:val="left"/>
      </w:pPr>
      <w:r>
        <w:t>Authorization or a recognized technical relationship with the Original Equipment Manufacturer (OEM), or documented capability to provide maintenance services in coordination with the system manufacturer, including access to technical documentation, software updates, and manufacturer-level support resources;</w:t>
      </w:r>
    </w:p>
    <w:p w14:paraId="04BE5F11">
      <w:pPr>
        <w:numPr>
          <w:ilvl w:val="0"/>
          <w:numId w:val="25"/>
        </w:numPr>
        <w:spacing w:after="200" w:line="276" w:lineRule="auto"/>
        <w:jc w:val="left"/>
      </w:pPr>
      <w:r>
        <w:t>Demonstrated expertise in RF measurement and monitoring technologies, including monitoring receivers, spectrum analyzers, direction-finding systems, antenna subsystems, and calibration-related activities;</w:t>
      </w:r>
    </w:p>
    <w:p w14:paraId="1651BD8F">
      <w:pPr>
        <w:numPr>
          <w:ilvl w:val="0"/>
          <w:numId w:val="25"/>
        </w:numPr>
        <w:spacing w:after="200" w:line="276" w:lineRule="auto"/>
        <w:jc w:val="left"/>
      </w:pPr>
      <w:r>
        <w:t>Availability of qualified technical personnel, including RF engineers with experience in integrated monitoring systems and mission-critical operational environments;</w:t>
      </w:r>
    </w:p>
    <w:p w14:paraId="58E1DB22">
      <w:pPr>
        <w:numPr>
          <w:ilvl w:val="0"/>
          <w:numId w:val="25"/>
        </w:numPr>
        <w:spacing w:after="200" w:line="276" w:lineRule="auto"/>
        <w:jc w:val="left"/>
      </w:pPr>
      <w:r>
        <w:t>Capability to provide nationwide technical support, including remote diagnostics and on-site intervention within the Service Level Requirements defined in this RFP;</w:t>
      </w:r>
    </w:p>
    <w:p w14:paraId="6BA08C6D">
      <w:pPr>
        <w:numPr>
          <w:ilvl w:val="0"/>
          <w:numId w:val="25"/>
        </w:numPr>
        <w:spacing w:after="200" w:line="276" w:lineRule="auto"/>
        <w:jc w:val="left"/>
      </w:pPr>
      <w:r>
        <w:t>Ability to ensure system continuity and compatibility, including management of firmware updates, software releases, configuration control, and preservation of system interoperability;</w:t>
      </w:r>
    </w:p>
    <w:p w14:paraId="09383314">
      <w:pPr>
        <w:numPr>
          <w:ilvl w:val="0"/>
          <w:numId w:val="25"/>
        </w:numPr>
        <w:spacing w:after="200" w:line="276" w:lineRule="auto"/>
        <w:jc w:val="left"/>
      </w:pPr>
      <w:r>
        <w:t>Established procedures for coordination with ARKEP and the OEM, ensuring efficient escalation, troubleshooting, and resolution of complex technical issues;</w:t>
      </w:r>
    </w:p>
    <w:p w14:paraId="4C0C34F2">
      <w:pPr>
        <w:numPr>
          <w:ilvl w:val="0"/>
          <w:numId w:val="25"/>
        </w:numPr>
        <w:spacing w:after="200" w:line="276" w:lineRule="auto"/>
        <w:jc w:val="left"/>
      </w:pPr>
      <w:r>
        <w:t>Organizational capacity to provide extended warranty services, including access to specialized tools, spare parts, and manufacturer-approved maintenance procedures.</w:t>
      </w:r>
    </w:p>
    <w:p w14:paraId="0B5807FA">
      <w:r>
        <w:t>Bidders shall provide supporting documentation, references, authorizations, or declarations demonstrating compliance with the above requirements.</w:t>
      </w:r>
    </w:p>
    <w:p w14:paraId="4B36B00D">
      <w:pPr>
        <w:rPr>
          <w:b/>
          <w:bCs/>
        </w:rPr>
      </w:pPr>
      <w:r>
        <w:rPr>
          <w:b/>
          <w:bCs/>
        </w:rPr>
        <w:t>8. Submission Requirements</w:t>
      </w:r>
    </w:p>
    <w:p w14:paraId="0C0CBF56">
      <w:r>
        <w:t>Interested companies shall submit a complete proposal demonstrating their technical capability, organizational capacity, and relevant experience to extended warranty and support services for the National Spectrum Monitoring System (NSMS). Ensuring continuity of technical responsibility and operational support following the completion of the original implementation and warranty period.</w:t>
      </w:r>
    </w:p>
    <w:p w14:paraId="60150D33">
      <w:r>
        <w:t>The proposal shall include, at a minimum, the following documentation:</w:t>
      </w:r>
    </w:p>
    <w:p w14:paraId="22A837E5">
      <w:pPr>
        <w:numPr>
          <w:ilvl w:val="0"/>
          <w:numId w:val="26"/>
        </w:numPr>
        <w:spacing w:after="200" w:line="276" w:lineRule="auto"/>
        <w:jc w:val="left"/>
      </w:pPr>
      <w:r>
        <w:rPr>
          <w:b/>
          <w:bCs/>
        </w:rPr>
        <w:t>Company Profile</w:t>
      </w:r>
      <w:r>
        <w:t>, including legal status,  years of operation, core business activities, and relevant organizational capabilities;</w:t>
      </w:r>
    </w:p>
    <w:p w14:paraId="2A7501EB">
      <w:pPr>
        <w:numPr>
          <w:ilvl w:val="0"/>
          <w:numId w:val="26"/>
        </w:numPr>
        <w:spacing w:after="200" w:line="276" w:lineRule="auto"/>
        <w:jc w:val="left"/>
      </w:pPr>
      <w:r>
        <w:rPr>
          <w:b/>
          <w:bCs/>
        </w:rPr>
        <w:t>Relevant Project References</w:t>
      </w:r>
      <w:r>
        <w:t>, demonstrating experience in spectrum monitoring systems, RF measurement solutions, telecommunications infrastructure, or comparable technical maintenance projects. References shall include project description, client name, scope of services, and implementation period;</w:t>
      </w:r>
    </w:p>
    <w:p w14:paraId="65D750E9">
      <w:pPr>
        <w:numPr>
          <w:ilvl w:val="0"/>
          <w:numId w:val="26"/>
        </w:numPr>
        <w:spacing w:after="200" w:line="276" w:lineRule="auto"/>
        <w:jc w:val="left"/>
      </w:pPr>
      <w:r>
        <w:rPr>
          <w:b/>
          <w:bCs/>
        </w:rPr>
        <w:t>Description of Extended Warranty and Maintenance Methodology,</w:t>
      </w:r>
      <w:r>
        <w:t xml:space="preserve"> outlining the bidder’s technical approach and corrective maintenance, incident management procedures, remote and on-site support arrangements, quality assurance practices, and coordination mechanisms with ARKEP;</w:t>
      </w:r>
    </w:p>
    <w:p w14:paraId="1047F1DC">
      <w:pPr>
        <w:numPr>
          <w:ilvl w:val="0"/>
          <w:numId w:val="26"/>
        </w:numPr>
        <w:spacing w:after="200" w:line="276" w:lineRule="auto"/>
        <w:jc w:val="left"/>
      </w:pPr>
      <w:r>
        <w:rPr>
          <w:b/>
          <w:bCs/>
        </w:rPr>
        <w:t>Proposed Team Structure</w:t>
      </w:r>
      <w:r>
        <w:t>, including organizational chart, roles and responsibilities of key personnel, and identification of RF assigned to the contract;</w:t>
      </w:r>
    </w:p>
    <w:p w14:paraId="33163806">
      <w:pPr>
        <w:numPr>
          <w:ilvl w:val="0"/>
          <w:numId w:val="26"/>
        </w:numPr>
        <w:spacing w:after="200" w:line="276" w:lineRule="auto"/>
        <w:jc w:val="left"/>
      </w:pPr>
      <w:r>
        <w:rPr>
          <w:b/>
          <w:bCs/>
        </w:rPr>
        <w:t>Statement of Availability and Support Capability</w:t>
      </w:r>
      <w:r>
        <w:t>, confirming the bidder’s ability to meet the Service Level Requirements, including response times and nationwide intervention capability;</w:t>
      </w:r>
    </w:p>
    <w:p w14:paraId="7670135F">
      <w:pPr>
        <w:numPr>
          <w:ilvl w:val="0"/>
          <w:numId w:val="26"/>
        </w:numPr>
        <w:spacing w:after="200" w:line="276" w:lineRule="auto"/>
        <w:jc w:val="left"/>
      </w:pPr>
      <w:r>
        <w:rPr>
          <w:b/>
          <w:bCs/>
        </w:rPr>
        <w:t>Declaration of Technical Capacity</w:t>
      </w:r>
      <w:r>
        <w:t>, confirming access to required tools, diagnostic equipment, proprietary documentation (where applicable), software updates, spare parts, and technical resources necessary to perform extended warranty services throughout the contract duration;</w:t>
      </w:r>
    </w:p>
    <w:p w14:paraId="44A41182">
      <w:r>
        <w:t>All submitted documentation shall be provided in clear and structured form to enable technical evaluation by the Contracting Authority.</w:t>
      </w:r>
    </w:p>
    <w:p w14:paraId="65407494">
      <w:pPr>
        <w:rPr>
          <w:b/>
          <w:bCs/>
        </w:rPr>
      </w:pPr>
      <w:r>
        <w:rPr>
          <w:b/>
          <w:bCs/>
        </w:rPr>
        <w:t>9. Duration of Contract</w:t>
      </w:r>
    </w:p>
    <w:p w14:paraId="74C52F20">
      <w:r>
        <w:t>The duration of the </w:t>
      </w:r>
      <w:r>
        <w:rPr>
          <w:bCs/>
        </w:rPr>
        <w:t>extended warranty and support services contract</w:t>
      </w:r>
      <w:r>
        <w:t> shall be twelve (12) months, commencing from the date of contract signature or from the official service commencement date as defined by the Contracting Authority</w:t>
      </w:r>
    </w:p>
    <w:p w14:paraId="4BADC4E7">
      <w:r>
        <w:t>The contract shall cover the provision of extended warranty services, maintenance, technical support, software updates, and manufacturer-aligned assistance necessary to ensure the continuous, reliable, and efficient operation of the National Spectrum Monitoring System (NSMS) throughout the entire contract period.</w:t>
      </w:r>
    </w:p>
    <w:p w14:paraId="6467A982">
      <w:r>
        <w:t xml:space="preserve">The extended warranty period shall ensure continuity of technical support equivalent to the level of service provided during the original manufacturer warranty phase, preserving system integrity, interoperability, and operational performance in accordance with manufacturer specifications and internationally recognized best practices. </w:t>
      </w:r>
    </w:p>
    <w:p w14:paraId="7EFB9E84">
      <w:r>
        <w:t>The Contracting Authority reserves the right, subject to satisfactory performance and operational requirements, to extend the contract period under the same or revised terms and conditions, in accordance with applicable procurement regulations.</w:t>
      </w:r>
      <w:bookmarkEnd w:id="118"/>
    </w:p>
    <w:bookmarkEnd w:id="119"/>
    <w:p w14:paraId="7553C6B1"/>
    <w:p w14:paraId="0693DECA"/>
    <w:p w14:paraId="512ED461"/>
    <w:p w14:paraId="00C97E45"/>
    <w:p w14:paraId="65EF323B">
      <w:pPr>
        <w:pStyle w:val="2"/>
        <w:rPr>
          <w:rFonts w:ascii="Arial" w:hAnsi="Arial" w:cs="Arial"/>
          <w:sz w:val="28"/>
          <w:szCs w:val="28"/>
        </w:rPr>
      </w:pPr>
      <w:r>
        <w:rPr>
          <w:rFonts w:ascii="Arial" w:hAnsi="Arial" w:cs="Arial"/>
          <w:sz w:val="28"/>
          <w:szCs w:val="28"/>
        </w:rPr>
        <w:t xml:space="preserve">Aneksi 2. </w:t>
      </w:r>
      <w:r>
        <w:rPr>
          <w:rFonts w:ascii="Arial" w:hAnsi="Arial" w:cs="Arial"/>
          <w:sz w:val="28"/>
          <w:szCs w:val="28"/>
        </w:rPr>
        <w:tab/>
      </w:r>
      <w:r>
        <w:rPr>
          <w:rFonts w:ascii="Arial" w:hAnsi="Arial" w:cs="Arial"/>
          <w:sz w:val="28"/>
          <w:szCs w:val="28"/>
        </w:rPr>
        <w:tab/>
      </w:r>
      <w:r>
        <w:rPr>
          <w:rFonts w:ascii="Arial" w:hAnsi="Arial" w:cs="Arial"/>
          <w:sz w:val="28"/>
          <w:szCs w:val="28"/>
        </w:rPr>
        <w:t>DEKLARATA NËN BETIM</w:t>
      </w:r>
    </w:p>
    <w:p w14:paraId="2467004A">
      <w:pPr>
        <w:rPr>
          <w:szCs w:val="24"/>
        </w:rPr>
      </w:pPr>
    </w:p>
    <w:p w14:paraId="1E82E9AE">
      <w:pPr>
        <w:pStyle w:val="78"/>
        <w:spacing w:after="120"/>
        <w:rPr>
          <w:rFonts w:ascii="Arial" w:hAnsi="Arial" w:cs="Arial"/>
          <w:sz w:val="20"/>
        </w:rPr>
      </w:pPr>
      <w:r>
        <w:rPr>
          <w:rFonts w:ascii="Arial" w:hAnsi="Arial" w:cs="Arial"/>
          <w:bCs/>
          <w:sz w:val="20"/>
          <w:lang w:eastAsia="en-US"/>
        </w:rPr>
        <w:t>Unë, i poshtë nënshkruari, duke përfaqësuar: [</w:t>
      </w:r>
      <w:r>
        <w:rPr>
          <w:rFonts w:ascii="Arial" w:hAnsi="Arial" w:cs="Arial"/>
          <w:bCs/>
          <w:i/>
          <w:sz w:val="20"/>
          <w:lang w:eastAsia="en-US"/>
        </w:rPr>
        <w:t>operatorin ekonomik që paraqitet</w:t>
      </w:r>
      <w:r>
        <w:rPr>
          <w:rFonts w:ascii="Arial" w:hAnsi="Arial" w:cs="Arial"/>
          <w:bCs/>
          <w:sz w:val="20"/>
          <w:lang w:eastAsia="en-US"/>
        </w:rPr>
        <w:t xml:space="preserve">] deklaroj nën betim se jam i përshtatshëm në përputhje me Nenin 65, të Ligjit mbi Prokurimin Publik në Kosovë, </w:t>
      </w:r>
      <w:r>
        <w:rPr>
          <w:rFonts w:ascii="Arial" w:hAnsi="Arial" w:cs="Arial"/>
          <w:sz w:val="20"/>
          <w:lang w:val="sq-AL"/>
        </w:rPr>
        <w:t xml:space="preserve">Ligji Nr. </w:t>
      </w:r>
      <w:r>
        <w:rPr>
          <w:rFonts w:cs="Arial"/>
          <w:sz w:val="20"/>
        </w:rPr>
        <w:t xml:space="preserve"> </w:t>
      </w:r>
      <w:r>
        <w:rPr>
          <w:rFonts w:ascii="Arial" w:hAnsi="Arial" w:cs="Arial"/>
          <w:sz w:val="20"/>
          <w:lang w:val="sq-AL"/>
        </w:rPr>
        <w:t xml:space="preserve">04/L-042 për Prokurimin Publik të Republikës se Kosovës, i ndryshuar dhe plotësuar me ligjin Nr. 04/L-237, ligjin Nr. 05/L-068 dhe ligjin Nr. </w:t>
      </w:r>
      <w:r>
        <w:rPr>
          <w:rFonts w:ascii="Arial" w:hAnsi="Arial" w:cs="Arial"/>
          <w:sz w:val="20"/>
        </w:rPr>
        <w:t>05/L-092.</w:t>
      </w:r>
      <w:r>
        <w:rPr>
          <w:rFonts w:ascii="Arial" w:hAnsi="Arial" w:cs="Arial"/>
          <w:i/>
          <w:sz w:val="20"/>
        </w:rPr>
        <w:t xml:space="preserve"> </w:t>
      </w:r>
      <w:r>
        <w:rPr>
          <w:rFonts w:ascii="Arial" w:hAnsi="Arial" w:cs="Arial"/>
          <w:sz w:val="20"/>
        </w:rPr>
        <w:t xml:space="preserve"> </w:t>
      </w:r>
    </w:p>
    <w:p w14:paraId="1F4B870A">
      <w:pPr>
        <w:spacing w:after="120"/>
        <w:rPr>
          <w:rFonts w:ascii="Arial" w:hAnsi="Arial" w:cs="Arial"/>
          <w:bCs/>
          <w:sz w:val="20"/>
        </w:rPr>
      </w:pPr>
      <w:r>
        <w:rPr>
          <w:rFonts w:ascii="Arial" w:hAnsi="Arial" w:cs="Arial"/>
          <w:bCs/>
          <w:sz w:val="20"/>
        </w:rPr>
        <w:t>Unë vërtetoj se i kam lexuar kërkesat e përshtatshmërisë në Nenin 65 të LPP-së, respektivisht paragrafin 6 të Informacionit për Tenderuesit dhe vërtetoj se i përmbush kërkesat e përshtatshmërisë për pjesëmarrje ne këtë procedure te prokurimit.</w:t>
      </w:r>
    </w:p>
    <w:p w14:paraId="2F884168">
      <w:pPr>
        <w:rPr>
          <w:rFonts w:ascii="Arial" w:hAnsi="Arial" w:cs="Arial"/>
          <w:sz w:val="20"/>
        </w:rPr>
      </w:pPr>
      <w:r>
        <w:rPr>
          <w:rFonts w:ascii="Arial" w:hAnsi="Arial" w:cs="Arial"/>
          <w:sz w:val="20"/>
        </w:rPr>
        <w:t>Unë pranoj mundësinë e sanksionimeve penale dhe civile, gjobave dhe dënimeve, nëse un</w:t>
      </w:r>
      <w:r>
        <w:rPr>
          <w:rFonts w:ascii="Arial" w:hAnsi="Arial" w:cs="Arial"/>
          <w:bCs/>
          <w:sz w:val="20"/>
        </w:rPr>
        <w:t>ë</w:t>
      </w:r>
      <w:r>
        <w:rPr>
          <w:rFonts w:ascii="Arial" w:hAnsi="Arial" w:cs="Arial"/>
          <w:sz w:val="20"/>
        </w:rPr>
        <w:t xml:space="preserve"> për shkak të pakujdesisë dorëzoj çfarëdo dokumenti ose deklarata që përmban informata përmbajtësish të gabueshme ose mashtruese. </w:t>
      </w:r>
    </w:p>
    <w:p w14:paraId="19420428">
      <w:pPr>
        <w:ind w:left="-180" w:right="180"/>
        <w:rPr>
          <w:rFonts w:ascii="Arial" w:hAnsi="Arial" w:cs="Arial"/>
          <w:sz w:val="20"/>
        </w:rPr>
      </w:pPr>
    </w:p>
    <w:tbl>
      <w:tblPr>
        <w:tblStyle w:val="1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2200"/>
        <w:gridCol w:w="6548"/>
      </w:tblGrid>
      <w:tr w14:paraId="468E1B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8748" w:type="dxa"/>
            <w:gridSpan w:val="2"/>
            <w:tcBorders>
              <w:top w:val="single" w:color="auto" w:sz="8" w:space="0"/>
              <w:bottom w:val="single" w:color="auto" w:sz="4" w:space="0"/>
            </w:tcBorders>
            <w:vAlign w:val="center"/>
          </w:tcPr>
          <w:p w14:paraId="14A6300D">
            <w:pPr>
              <w:spacing w:after="0"/>
              <w:jc w:val="center"/>
              <w:rPr>
                <w:rFonts w:ascii="Arial" w:hAnsi="Arial" w:cs="Arial"/>
                <w:sz w:val="20"/>
              </w:rPr>
            </w:pPr>
            <w:r>
              <w:rPr>
                <w:rFonts w:ascii="Arial" w:hAnsi="Arial" w:cs="Arial"/>
                <w:b/>
                <w:sz w:val="20"/>
              </w:rPr>
              <w:t>Identifikimi i Operatorit Ekonomik (OE)</w:t>
            </w:r>
          </w:p>
        </w:tc>
      </w:tr>
      <w:tr w14:paraId="3EB4DF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00" w:type="dxa"/>
            <w:tcBorders>
              <w:top w:val="single" w:color="auto" w:sz="4" w:space="0"/>
              <w:bottom w:val="single" w:color="auto" w:sz="4" w:space="0"/>
              <w:right w:val="single" w:color="auto" w:sz="4" w:space="0"/>
            </w:tcBorders>
            <w:vAlign w:val="center"/>
          </w:tcPr>
          <w:p w14:paraId="54B14BCB">
            <w:pPr>
              <w:spacing w:after="0"/>
              <w:jc w:val="left"/>
              <w:rPr>
                <w:rFonts w:ascii="Arial" w:hAnsi="Arial" w:cs="Arial"/>
                <w:b/>
                <w:sz w:val="20"/>
              </w:rPr>
            </w:pPr>
            <w:r>
              <w:rPr>
                <w:rFonts w:ascii="Arial" w:hAnsi="Arial" w:cs="Arial"/>
                <w:b/>
                <w:sz w:val="20"/>
              </w:rPr>
              <w:t>Emri i OE:</w:t>
            </w:r>
          </w:p>
        </w:tc>
        <w:tc>
          <w:tcPr>
            <w:tcW w:w="6548" w:type="dxa"/>
            <w:tcBorders>
              <w:top w:val="single" w:color="auto" w:sz="4" w:space="0"/>
              <w:left w:val="single" w:color="auto" w:sz="4" w:space="0"/>
              <w:bottom w:val="single" w:color="auto" w:sz="4" w:space="0"/>
            </w:tcBorders>
            <w:vAlign w:val="center"/>
          </w:tcPr>
          <w:p w14:paraId="30B584D0">
            <w:pPr>
              <w:spacing w:after="0"/>
              <w:jc w:val="left"/>
              <w:rPr>
                <w:rFonts w:ascii="Arial" w:hAnsi="Arial" w:cs="Arial"/>
                <w:sz w:val="20"/>
              </w:rPr>
            </w:pPr>
          </w:p>
        </w:tc>
      </w:tr>
      <w:tr w14:paraId="6E806D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200" w:type="dxa"/>
            <w:tcBorders>
              <w:top w:val="single" w:color="auto" w:sz="4" w:space="0"/>
              <w:bottom w:val="single" w:color="auto" w:sz="4" w:space="0"/>
              <w:right w:val="single" w:color="auto" w:sz="4" w:space="0"/>
            </w:tcBorders>
            <w:vAlign w:val="center"/>
          </w:tcPr>
          <w:p w14:paraId="3BF9A252">
            <w:pPr>
              <w:spacing w:after="0"/>
              <w:jc w:val="left"/>
              <w:rPr>
                <w:rFonts w:ascii="Arial" w:hAnsi="Arial" w:cs="Arial"/>
                <w:b/>
                <w:sz w:val="20"/>
              </w:rPr>
            </w:pPr>
            <w:r>
              <w:rPr>
                <w:rFonts w:ascii="Arial" w:hAnsi="Arial" w:cs="Arial"/>
                <w:b/>
                <w:sz w:val="20"/>
              </w:rPr>
              <w:t>Adresa e plotë:</w:t>
            </w:r>
          </w:p>
        </w:tc>
        <w:tc>
          <w:tcPr>
            <w:tcW w:w="6548" w:type="dxa"/>
            <w:tcBorders>
              <w:top w:val="single" w:color="auto" w:sz="4" w:space="0"/>
              <w:left w:val="single" w:color="auto" w:sz="4" w:space="0"/>
              <w:bottom w:val="single" w:color="auto" w:sz="4" w:space="0"/>
            </w:tcBorders>
            <w:vAlign w:val="center"/>
          </w:tcPr>
          <w:p w14:paraId="72D4F323">
            <w:pPr>
              <w:spacing w:after="0"/>
              <w:jc w:val="left"/>
              <w:rPr>
                <w:rFonts w:ascii="Arial" w:hAnsi="Arial" w:cs="Arial"/>
                <w:sz w:val="20"/>
              </w:rPr>
            </w:pPr>
          </w:p>
        </w:tc>
      </w:tr>
      <w:tr w14:paraId="4478DB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748" w:type="dxa"/>
            <w:gridSpan w:val="2"/>
            <w:tcBorders>
              <w:top w:val="single" w:color="auto" w:sz="4" w:space="0"/>
              <w:bottom w:val="single" w:color="auto" w:sz="4" w:space="0"/>
            </w:tcBorders>
            <w:vAlign w:val="center"/>
          </w:tcPr>
          <w:p w14:paraId="4FECA4BE">
            <w:pPr>
              <w:spacing w:after="0"/>
              <w:jc w:val="left"/>
              <w:rPr>
                <w:rFonts w:ascii="Arial" w:hAnsi="Arial" w:cs="Arial"/>
                <w:sz w:val="20"/>
              </w:rPr>
            </w:pPr>
            <w:r>
              <w:rPr>
                <w:rFonts w:ascii="Arial" w:hAnsi="Arial" w:cs="Arial"/>
                <w:b/>
                <w:sz w:val="20"/>
              </w:rPr>
              <w:t>I përfaqësuar nga:</w:t>
            </w:r>
          </w:p>
        </w:tc>
      </w:tr>
      <w:tr w14:paraId="428C86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200" w:type="dxa"/>
            <w:tcBorders>
              <w:top w:val="single" w:color="auto" w:sz="4" w:space="0"/>
              <w:bottom w:val="single" w:color="auto" w:sz="4" w:space="0"/>
              <w:right w:val="single" w:color="auto" w:sz="4" w:space="0"/>
            </w:tcBorders>
            <w:vAlign w:val="center"/>
          </w:tcPr>
          <w:p w14:paraId="6B7D1221">
            <w:pPr>
              <w:spacing w:after="0"/>
              <w:jc w:val="left"/>
              <w:rPr>
                <w:rFonts w:ascii="Arial" w:hAnsi="Arial" w:cs="Arial"/>
                <w:b/>
                <w:sz w:val="20"/>
              </w:rPr>
            </w:pPr>
            <w:r>
              <w:rPr>
                <w:rFonts w:ascii="Arial" w:hAnsi="Arial" w:cs="Arial"/>
                <w:b/>
                <w:sz w:val="20"/>
              </w:rPr>
              <w:t>Emri</w:t>
            </w:r>
          </w:p>
        </w:tc>
        <w:tc>
          <w:tcPr>
            <w:tcW w:w="6548" w:type="dxa"/>
            <w:tcBorders>
              <w:top w:val="single" w:color="auto" w:sz="4" w:space="0"/>
              <w:left w:val="single" w:color="auto" w:sz="4" w:space="0"/>
              <w:bottom w:val="single" w:color="auto" w:sz="4" w:space="0"/>
            </w:tcBorders>
            <w:vAlign w:val="center"/>
          </w:tcPr>
          <w:p w14:paraId="382D7273">
            <w:pPr>
              <w:spacing w:after="0"/>
              <w:rPr>
                <w:rFonts w:ascii="Arial" w:hAnsi="Arial" w:cs="Arial"/>
                <w:sz w:val="20"/>
              </w:rPr>
            </w:pPr>
          </w:p>
        </w:tc>
      </w:tr>
      <w:tr w14:paraId="26AD5B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00" w:type="dxa"/>
            <w:tcBorders>
              <w:top w:val="single" w:color="auto" w:sz="4" w:space="0"/>
              <w:bottom w:val="single" w:color="auto" w:sz="4" w:space="0"/>
              <w:right w:val="single" w:color="auto" w:sz="4" w:space="0"/>
            </w:tcBorders>
            <w:vAlign w:val="center"/>
          </w:tcPr>
          <w:p w14:paraId="240B566F">
            <w:pPr>
              <w:spacing w:after="0"/>
              <w:jc w:val="left"/>
              <w:rPr>
                <w:rFonts w:ascii="Arial" w:hAnsi="Arial" w:cs="Arial"/>
                <w:b/>
                <w:sz w:val="20"/>
              </w:rPr>
            </w:pPr>
            <w:r>
              <w:rPr>
                <w:rFonts w:ascii="Arial" w:hAnsi="Arial" w:cs="Arial"/>
                <w:b/>
                <w:sz w:val="20"/>
              </w:rPr>
              <w:t>Pozita</w:t>
            </w:r>
          </w:p>
        </w:tc>
        <w:tc>
          <w:tcPr>
            <w:tcW w:w="6548" w:type="dxa"/>
            <w:tcBorders>
              <w:top w:val="single" w:color="auto" w:sz="4" w:space="0"/>
              <w:left w:val="single" w:color="auto" w:sz="4" w:space="0"/>
              <w:bottom w:val="single" w:color="auto" w:sz="4" w:space="0"/>
            </w:tcBorders>
            <w:vAlign w:val="center"/>
          </w:tcPr>
          <w:p w14:paraId="61FFA016">
            <w:pPr>
              <w:spacing w:after="0"/>
              <w:rPr>
                <w:rFonts w:ascii="Arial" w:hAnsi="Arial" w:cs="Arial"/>
                <w:sz w:val="20"/>
              </w:rPr>
            </w:pPr>
          </w:p>
        </w:tc>
      </w:tr>
      <w:tr w14:paraId="4D9D6C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00" w:type="dxa"/>
            <w:tcBorders>
              <w:top w:val="single" w:color="auto" w:sz="4" w:space="0"/>
              <w:bottom w:val="single" w:color="auto" w:sz="4" w:space="0"/>
              <w:right w:val="single" w:color="auto" w:sz="4" w:space="0"/>
            </w:tcBorders>
            <w:vAlign w:val="center"/>
          </w:tcPr>
          <w:p w14:paraId="63ACC7E6">
            <w:pPr>
              <w:spacing w:after="0"/>
              <w:jc w:val="left"/>
              <w:rPr>
                <w:rFonts w:ascii="Arial" w:hAnsi="Arial" w:cs="Arial"/>
                <w:b/>
                <w:sz w:val="20"/>
              </w:rPr>
            </w:pPr>
            <w:r>
              <w:rPr>
                <w:rFonts w:ascii="Arial" w:hAnsi="Arial" w:cs="Arial"/>
                <w:b/>
                <w:sz w:val="20"/>
              </w:rPr>
              <w:t>Nënshkrimi</w:t>
            </w:r>
          </w:p>
        </w:tc>
        <w:tc>
          <w:tcPr>
            <w:tcW w:w="6548" w:type="dxa"/>
            <w:tcBorders>
              <w:top w:val="single" w:color="auto" w:sz="4" w:space="0"/>
              <w:left w:val="single" w:color="auto" w:sz="4" w:space="0"/>
              <w:bottom w:val="single" w:color="auto" w:sz="4" w:space="0"/>
            </w:tcBorders>
            <w:vAlign w:val="center"/>
          </w:tcPr>
          <w:p w14:paraId="767DA7DB">
            <w:pPr>
              <w:spacing w:after="0"/>
              <w:rPr>
                <w:rFonts w:ascii="Arial" w:hAnsi="Arial" w:cs="Arial"/>
                <w:sz w:val="20"/>
              </w:rPr>
            </w:pPr>
          </w:p>
        </w:tc>
      </w:tr>
      <w:tr w14:paraId="0254C1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00" w:type="dxa"/>
            <w:tcBorders>
              <w:top w:val="single" w:color="auto" w:sz="4" w:space="0"/>
              <w:bottom w:val="single" w:color="auto" w:sz="4" w:space="0"/>
              <w:right w:val="single" w:color="auto" w:sz="4" w:space="0"/>
            </w:tcBorders>
            <w:vAlign w:val="center"/>
          </w:tcPr>
          <w:p w14:paraId="2B5B3286">
            <w:pPr>
              <w:spacing w:after="0"/>
              <w:jc w:val="left"/>
              <w:rPr>
                <w:rFonts w:ascii="Arial" w:hAnsi="Arial" w:cs="Arial"/>
                <w:b/>
                <w:sz w:val="20"/>
              </w:rPr>
            </w:pPr>
            <w:r>
              <w:rPr>
                <w:rFonts w:ascii="Arial" w:hAnsi="Arial" w:cs="Arial"/>
                <w:b/>
                <w:sz w:val="20"/>
              </w:rPr>
              <w:t>Data</w:t>
            </w:r>
          </w:p>
        </w:tc>
        <w:tc>
          <w:tcPr>
            <w:tcW w:w="6548" w:type="dxa"/>
            <w:tcBorders>
              <w:top w:val="single" w:color="auto" w:sz="4" w:space="0"/>
              <w:left w:val="single" w:color="auto" w:sz="4" w:space="0"/>
              <w:bottom w:val="single" w:color="auto" w:sz="4" w:space="0"/>
            </w:tcBorders>
            <w:vAlign w:val="center"/>
          </w:tcPr>
          <w:p w14:paraId="64AE0077">
            <w:pPr>
              <w:spacing w:after="0"/>
              <w:rPr>
                <w:rFonts w:ascii="Arial" w:hAnsi="Arial" w:cs="Arial"/>
                <w:sz w:val="20"/>
              </w:rPr>
            </w:pPr>
          </w:p>
        </w:tc>
      </w:tr>
      <w:tr w14:paraId="59C5DF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2200" w:type="dxa"/>
            <w:tcBorders>
              <w:top w:val="single" w:color="auto" w:sz="4" w:space="0"/>
              <w:bottom w:val="single" w:color="auto" w:sz="8" w:space="0"/>
              <w:right w:val="single" w:color="auto" w:sz="4" w:space="0"/>
            </w:tcBorders>
            <w:vAlign w:val="center"/>
          </w:tcPr>
          <w:p w14:paraId="08903767">
            <w:pPr>
              <w:spacing w:after="0"/>
              <w:jc w:val="left"/>
              <w:rPr>
                <w:rFonts w:ascii="Arial" w:hAnsi="Arial" w:cs="Arial"/>
                <w:b/>
                <w:sz w:val="20"/>
              </w:rPr>
            </w:pPr>
            <w:r>
              <w:rPr>
                <w:rFonts w:ascii="Arial" w:hAnsi="Arial" w:cs="Arial"/>
                <w:b/>
                <w:sz w:val="20"/>
              </w:rPr>
              <w:t>Vula</w:t>
            </w:r>
          </w:p>
        </w:tc>
        <w:tc>
          <w:tcPr>
            <w:tcW w:w="6548" w:type="dxa"/>
            <w:tcBorders>
              <w:top w:val="single" w:color="auto" w:sz="4" w:space="0"/>
              <w:left w:val="single" w:color="auto" w:sz="4" w:space="0"/>
              <w:bottom w:val="single" w:color="auto" w:sz="8" w:space="0"/>
            </w:tcBorders>
            <w:vAlign w:val="center"/>
          </w:tcPr>
          <w:p w14:paraId="1FAA0D1D">
            <w:pPr>
              <w:spacing w:after="0"/>
              <w:rPr>
                <w:rFonts w:ascii="Arial" w:hAnsi="Arial" w:cs="Arial"/>
                <w:sz w:val="20"/>
              </w:rPr>
            </w:pPr>
          </w:p>
        </w:tc>
      </w:tr>
    </w:tbl>
    <w:p w14:paraId="17288B7E">
      <w:pPr>
        <w:rPr>
          <w:rFonts w:ascii="Arial" w:hAnsi="Arial" w:cs="Arial"/>
          <w:sz w:val="20"/>
        </w:rPr>
      </w:pPr>
    </w:p>
    <w:p w14:paraId="3FC33B58"/>
    <w:p w14:paraId="199A97F3"/>
    <w:p w14:paraId="2D94D9FB"/>
    <w:p w14:paraId="0E823AF8"/>
    <w:p w14:paraId="31872C91"/>
    <w:p w14:paraId="7F7B5B12">
      <w:pPr>
        <w:pStyle w:val="2"/>
        <w:rPr>
          <w:rFonts w:ascii="Arial" w:hAnsi="Arial" w:cs="Arial"/>
          <w:sz w:val="24"/>
          <w:szCs w:val="24"/>
          <w:lang w:val="sq-AL"/>
        </w:rPr>
      </w:pPr>
      <w:bookmarkStart w:id="120" w:name="_TENDER_FORM_FOR_A_SUPPLY_CONTRACT"/>
      <w:bookmarkEnd w:id="120"/>
      <w:bookmarkStart w:id="121" w:name="_Ref107632052"/>
      <w:bookmarkStart w:id="122" w:name="_Toc110850685"/>
      <w:bookmarkStart w:id="123" w:name="_Toc444607934"/>
      <w:bookmarkStart w:id="124" w:name="_Toc286833832"/>
      <w:bookmarkStart w:id="125" w:name="_Toc444607938"/>
      <w:r>
        <w:rPr>
          <w:rFonts w:ascii="Arial" w:hAnsi="Arial" w:cs="Arial"/>
          <w:sz w:val="24"/>
          <w:szCs w:val="24"/>
          <w:lang w:val="sq-AL"/>
        </w:rPr>
        <w:t>Aneksi 3</w:t>
      </w:r>
      <w:r>
        <w:rPr>
          <w:rFonts w:ascii="Arial" w:hAnsi="Arial" w:cs="Arial"/>
          <w:sz w:val="24"/>
          <w:szCs w:val="24"/>
          <w:lang w:val="sq-AL"/>
        </w:rPr>
        <w:tab/>
      </w:r>
      <w:r>
        <w:rPr>
          <w:rFonts w:ascii="Arial" w:hAnsi="Arial" w:cs="Arial"/>
          <w:sz w:val="24"/>
          <w:szCs w:val="24"/>
          <w:lang w:val="sq-AL"/>
        </w:rPr>
        <w:t xml:space="preserve">    KËRKESA PËR INFORMACIONE SHTESË</w:t>
      </w:r>
      <w:bookmarkEnd w:id="121"/>
      <w:bookmarkEnd w:id="122"/>
      <w:bookmarkEnd w:id="123"/>
      <w:bookmarkEnd w:id="124"/>
    </w:p>
    <w:p w14:paraId="3A61B90D">
      <w:pPr>
        <w:ind w:right="180"/>
      </w:pPr>
    </w:p>
    <w:p w14:paraId="5204F6C5">
      <w:pPr>
        <w:spacing w:after="0"/>
        <w:ind w:right="180"/>
        <w:rPr>
          <w:rFonts w:ascii="Arial" w:hAnsi="Arial" w:cs="Arial"/>
          <w:i/>
          <w:sz w:val="20"/>
        </w:rPr>
      </w:pPr>
      <w:r>
        <w:rPr>
          <w:rFonts w:ascii="Arial" w:hAnsi="Arial" w:cs="Arial"/>
          <w:sz w:val="20"/>
        </w:rPr>
        <w:t xml:space="preserve">Për: </w:t>
      </w:r>
      <w:r>
        <w:rPr>
          <w:rFonts w:ascii="Arial" w:hAnsi="Arial" w:cs="Arial"/>
          <w:sz w:val="20"/>
          <w:highlight w:val="lightGray"/>
        </w:rPr>
        <w:t>&lt;emri dhe adresa e autoritetit kontraktues&gt;</w:t>
      </w:r>
    </w:p>
    <w:p w14:paraId="237BD59C">
      <w:pPr>
        <w:spacing w:after="0"/>
        <w:rPr>
          <w:rFonts w:ascii="Arial" w:hAnsi="Arial" w:cs="Arial"/>
          <w:sz w:val="20"/>
        </w:rPr>
      </w:pPr>
    </w:p>
    <w:p w14:paraId="60BE86AE">
      <w:pPr>
        <w:spacing w:after="0"/>
        <w:rPr>
          <w:rFonts w:ascii="Arial" w:hAnsi="Arial" w:cs="Arial"/>
          <w:sz w:val="20"/>
        </w:rPr>
      </w:pPr>
    </w:p>
    <w:p w14:paraId="0841A638">
      <w:pPr>
        <w:spacing w:after="0"/>
        <w:ind w:right="180"/>
        <w:rPr>
          <w:rFonts w:ascii="Arial" w:hAnsi="Arial" w:cs="Arial"/>
          <w:sz w:val="20"/>
        </w:rPr>
      </w:pPr>
      <w:r>
        <w:rPr>
          <w:rFonts w:ascii="Arial" w:hAnsi="Arial" w:cs="Arial"/>
          <w:sz w:val="20"/>
        </w:rPr>
        <w:t xml:space="preserve">DUKE MARRË PARASYSH SE </w:t>
      </w:r>
      <w:r>
        <w:rPr>
          <w:rFonts w:ascii="Arial" w:hAnsi="Arial" w:cs="Arial"/>
          <w:i/>
          <w:sz w:val="20"/>
          <w:highlight w:val="lightGray"/>
        </w:rPr>
        <w:t>[emri i operatorit ekonomik</w:t>
      </w:r>
      <w:r>
        <w:rPr>
          <w:rFonts w:ascii="Arial" w:hAnsi="Arial" w:cs="Arial"/>
          <w:i/>
          <w:sz w:val="20"/>
        </w:rPr>
        <w:t>]</w:t>
      </w:r>
      <w:r>
        <w:rPr>
          <w:rFonts w:ascii="Arial" w:hAnsi="Arial" w:cs="Arial"/>
          <w:sz w:val="20"/>
        </w:rPr>
        <w:t xml:space="preserve"> (më tej “Operatori Ekonomik”), pas pranimit të dosjes së tenderit nën Nr. e Prokurimit të sipër-përmendur, beson se nevojiten informacionet shtesë ose informacionet sqaruese si në vijim: </w:t>
      </w:r>
    </w:p>
    <w:p w14:paraId="59926020">
      <w:pPr>
        <w:spacing w:after="0"/>
        <w:rPr>
          <w:rFonts w:ascii="Arial" w:hAnsi="Arial" w:cs="Arial"/>
          <w:sz w:val="20"/>
        </w:rPr>
      </w:pPr>
    </w:p>
    <w:p w14:paraId="5F7E84CA">
      <w:pPr>
        <w:spacing w:after="0"/>
        <w:rPr>
          <w:rFonts w:ascii="Arial" w:hAnsi="Arial" w:cs="Arial"/>
          <w:sz w:val="20"/>
        </w:rPr>
      </w:pP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14:paraId="3F03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Pr>
          <w:p w14:paraId="13B91912">
            <w:pPr>
              <w:ind w:right="180"/>
              <w:rPr>
                <w:rFonts w:ascii="Arial" w:hAnsi="Arial" w:cs="Arial"/>
                <w:i/>
                <w:sz w:val="20"/>
              </w:rPr>
            </w:pPr>
            <w:r>
              <w:rPr>
                <w:rFonts w:ascii="Arial" w:hAnsi="Arial" w:cs="Arial"/>
                <w:i/>
                <w:sz w:val="20"/>
                <w:highlight w:val="lightGray"/>
              </w:rPr>
              <w:t>Identifikimi i informacioneve shtesë ose i informacioneve sqaruese, përfshirë referimet në pjesën apo në pjesët e dosjes së tenderit:</w:t>
            </w:r>
          </w:p>
        </w:tc>
      </w:tr>
    </w:tbl>
    <w:p w14:paraId="0350FD1A">
      <w:pPr>
        <w:spacing w:after="0"/>
        <w:rPr>
          <w:rFonts w:ascii="Arial" w:hAnsi="Arial" w:cs="Arial"/>
          <w:sz w:val="20"/>
        </w:rPr>
      </w:pPr>
    </w:p>
    <w:p w14:paraId="550A9387">
      <w:pPr>
        <w:spacing w:after="0"/>
        <w:rPr>
          <w:rFonts w:ascii="Arial" w:hAnsi="Arial" w:cs="Arial"/>
          <w:bCs/>
          <w:color w:val="000000"/>
          <w:sz w:val="20"/>
        </w:rPr>
      </w:pPr>
    </w:p>
    <w:p w14:paraId="11CA8E05">
      <w:pPr>
        <w:spacing w:after="0"/>
        <w:ind w:right="180"/>
        <w:rPr>
          <w:rFonts w:ascii="Arial" w:hAnsi="Arial" w:cs="Arial"/>
          <w:bCs/>
          <w:color w:val="000000"/>
          <w:sz w:val="20"/>
        </w:rPr>
      </w:pPr>
      <w:r>
        <w:rPr>
          <w:rFonts w:ascii="Arial" w:hAnsi="Arial" w:cs="Arial"/>
          <w:bCs/>
          <w:color w:val="000000"/>
          <w:sz w:val="20"/>
        </w:rPr>
        <w:t xml:space="preserve">PRANDAJ, unë, i poshtë nënshkruari, duke përfaqësuar Operatorin Ekonomik, nëpërmjet kësaj kërkoj marrjen e informacioneve të identifikuara. </w:t>
      </w:r>
    </w:p>
    <w:p w14:paraId="22B7167B">
      <w:pPr>
        <w:spacing w:after="0"/>
        <w:rPr>
          <w:bCs/>
          <w:color w:val="000000"/>
          <w:szCs w:val="24"/>
        </w:rPr>
      </w:pPr>
      <w:r>
        <w:rPr>
          <w:bCs/>
          <w:color w:val="000000"/>
          <w:szCs w:val="24"/>
        </w:rPr>
        <w:t xml:space="preserve"> </w:t>
      </w:r>
    </w:p>
    <w:p w14:paraId="64E63D28">
      <w:pPr>
        <w:spacing w:after="0"/>
        <w:rPr>
          <w:bCs/>
          <w:color w:val="000000"/>
          <w:szCs w:val="24"/>
        </w:rPr>
      </w:pPr>
    </w:p>
    <w:tbl>
      <w:tblPr>
        <w:tblStyle w:val="12"/>
        <w:tblW w:w="0" w:type="auto"/>
        <w:tblInd w:w="25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964"/>
        <w:gridCol w:w="6116"/>
      </w:tblGrid>
      <w:tr w14:paraId="744B25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080" w:type="dxa"/>
            <w:gridSpan w:val="2"/>
            <w:tcBorders>
              <w:top w:val="single" w:color="auto" w:sz="8" w:space="0"/>
              <w:bottom w:val="single" w:color="auto" w:sz="4" w:space="0"/>
            </w:tcBorders>
            <w:vAlign w:val="center"/>
          </w:tcPr>
          <w:p w14:paraId="6FC50484">
            <w:pPr>
              <w:spacing w:before="120" w:after="120"/>
              <w:jc w:val="center"/>
              <w:rPr>
                <w:rFonts w:ascii="Arial" w:hAnsi="Arial" w:cs="Arial"/>
                <w:sz w:val="20"/>
              </w:rPr>
            </w:pPr>
            <w:r>
              <w:rPr>
                <w:rFonts w:ascii="Arial" w:hAnsi="Arial" w:cs="Arial"/>
                <w:b/>
                <w:sz w:val="20"/>
              </w:rPr>
              <w:t>Identifikimi i Operatorit Ekonomik (OE)</w:t>
            </w:r>
          </w:p>
        </w:tc>
      </w:tr>
      <w:tr w14:paraId="605F78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964" w:type="dxa"/>
            <w:tcBorders>
              <w:top w:val="single" w:color="auto" w:sz="4" w:space="0"/>
              <w:bottom w:val="single" w:color="auto" w:sz="4" w:space="0"/>
              <w:right w:val="single" w:color="auto" w:sz="4" w:space="0"/>
            </w:tcBorders>
            <w:vAlign w:val="center"/>
          </w:tcPr>
          <w:p w14:paraId="01F422E0">
            <w:pPr>
              <w:spacing w:after="0"/>
              <w:jc w:val="left"/>
              <w:rPr>
                <w:rFonts w:ascii="Arial" w:hAnsi="Arial" w:cs="Arial"/>
                <w:b/>
                <w:sz w:val="18"/>
                <w:szCs w:val="18"/>
                <w:highlight w:val="lightGray"/>
              </w:rPr>
            </w:pPr>
          </w:p>
          <w:p w14:paraId="0DEAA30D">
            <w:pPr>
              <w:spacing w:after="0"/>
              <w:jc w:val="left"/>
              <w:rPr>
                <w:rFonts w:ascii="Arial" w:hAnsi="Arial" w:cs="Arial"/>
                <w:b/>
                <w:sz w:val="18"/>
                <w:szCs w:val="18"/>
                <w:highlight w:val="lightGray"/>
              </w:rPr>
            </w:pPr>
            <w:r>
              <w:rPr>
                <w:rFonts w:ascii="Arial" w:hAnsi="Arial" w:cs="Arial"/>
                <w:b/>
                <w:sz w:val="18"/>
                <w:szCs w:val="18"/>
                <w:highlight w:val="lightGray"/>
              </w:rPr>
              <w:t>Emri OE:</w:t>
            </w:r>
          </w:p>
        </w:tc>
        <w:tc>
          <w:tcPr>
            <w:tcW w:w="6116" w:type="dxa"/>
            <w:tcBorders>
              <w:top w:val="single" w:color="auto" w:sz="4" w:space="0"/>
              <w:left w:val="single" w:color="auto" w:sz="4" w:space="0"/>
              <w:bottom w:val="single" w:color="auto" w:sz="4" w:space="0"/>
            </w:tcBorders>
            <w:vAlign w:val="center"/>
          </w:tcPr>
          <w:p w14:paraId="7D7DDBA0">
            <w:pPr>
              <w:spacing w:after="0"/>
              <w:jc w:val="left"/>
              <w:rPr>
                <w:rFonts w:ascii="Arial" w:hAnsi="Arial" w:cs="Arial"/>
                <w:sz w:val="20"/>
              </w:rPr>
            </w:pPr>
          </w:p>
        </w:tc>
      </w:tr>
      <w:tr w14:paraId="2947ED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964" w:type="dxa"/>
            <w:tcBorders>
              <w:top w:val="single" w:color="auto" w:sz="4" w:space="0"/>
              <w:bottom w:val="single" w:color="auto" w:sz="4" w:space="0"/>
              <w:right w:val="single" w:color="auto" w:sz="4" w:space="0"/>
            </w:tcBorders>
            <w:vAlign w:val="center"/>
          </w:tcPr>
          <w:p w14:paraId="49AEA982">
            <w:pPr>
              <w:spacing w:after="0"/>
              <w:jc w:val="left"/>
              <w:rPr>
                <w:rFonts w:ascii="Arial" w:hAnsi="Arial" w:cs="Arial"/>
                <w:b/>
                <w:sz w:val="20"/>
                <w:highlight w:val="lightGray"/>
              </w:rPr>
            </w:pPr>
            <w:r>
              <w:rPr>
                <w:rFonts w:ascii="Arial" w:hAnsi="Arial" w:cs="Arial"/>
                <w:b/>
                <w:sz w:val="20"/>
                <w:highlight w:val="lightGray"/>
              </w:rPr>
              <w:t>Adresa e plotë:</w:t>
            </w:r>
          </w:p>
        </w:tc>
        <w:tc>
          <w:tcPr>
            <w:tcW w:w="6116" w:type="dxa"/>
            <w:tcBorders>
              <w:top w:val="single" w:color="auto" w:sz="4" w:space="0"/>
              <w:left w:val="single" w:color="auto" w:sz="4" w:space="0"/>
              <w:bottom w:val="single" w:color="auto" w:sz="4" w:space="0"/>
            </w:tcBorders>
            <w:vAlign w:val="center"/>
          </w:tcPr>
          <w:p w14:paraId="4CA9CDC5">
            <w:pPr>
              <w:spacing w:after="0"/>
              <w:jc w:val="left"/>
              <w:rPr>
                <w:rFonts w:ascii="Arial" w:hAnsi="Arial" w:cs="Arial"/>
                <w:sz w:val="20"/>
              </w:rPr>
            </w:pPr>
          </w:p>
        </w:tc>
      </w:tr>
      <w:tr w14:paraId="7A448B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080" w:type="dxa"/>
            <w:gridSpan w:val="2"/>
            <w:tcBorders>
              <w:top w:val="single" w:color="auto" w:sz="4" w:space="0"/>
              <w:bottom w:val="single" w:color="auto" w:sz="4" w:space="0"/>
            </w:tcBorders>
            <w:vAlign w:val="center"/>
          </w:tcPr>
          <w:p w14:paraId="477BFA77">
            <w:pPr>
              <w:spacing w:after="0"/>
              <w:jc w:val="left"/>
              <w:rPr>
                <w:rFonts w:ascii="Arial" w:hAnsi="Arial" w:cs="Arial"/>
                <w:sz w:val="20"/>
                <w:highlight w:val="lightGray"/>
              </w:rPr>
            </w:pPr>
            <w:r>
              <w:rPr>
                <w:rFonts w:ascii="Arial" w:hAnsi="Arial" w:cs="Arial"/>
                <w:b/>
                <w:sz w:val="20"/>
                <w:highlight w:val="lightGray"/>
              </w:rPr>
              <w:t>I përfaqësuar nga:</w:t>
            </w:r>
          </w:p>
        </w:tc>
      </w:tr>
      <w:tr w14:paraId="38C02C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64" w:type="dxa"/>
            <w:tcBorders>
              <w:top w:val="single" w:color="auto" w:sz="4" w:space="0"/>
              <w:bottom w:val="single" w:color="auto" w:sz="4" w:space="0"/>
              <w:right w:val="single" w:color="auto" w:sz="4" w:space="0"/>
            </w:tcBorders>
            <w:vAlign w:val="center"/>
          </w:tcPr>
          <w:p w14:paraId="329F4FA0">
            <w:pPr>
              <w:spacing w:after="0"/>
              <w:jc w:val="left"/>
              <w:rPr>
                <w:rFonts w:ascii="Arial" w:hAnsi="Arial" w:cs="Arial"/>
                <w:b/>
                <w:sz w:val="20"/>
                <w:highlight w:val="lightGray"/>
              </w:rPr>
            </w:pPr>
            <w:r>
              <w:rPr>
                <w:rFonts w:ascii="Arial" w:hAnsi="Arial" w:cs="Arial"/>
                <w:b/>
                <w:sz w:val="20"/>
                <w:highlight w:val="lightGray"/>
              </w:rPr>
              <w:t>Emri:</w:t>
            </w:r>
          </w:p>
        </w:tc>
        <w:tc>
          <w:tcPr>
            <w:tcW w:w="6116" w:type="dxa"/>
            <w:tcBorders>
              <w:top w:val="single" w:color="auto" w:sz="4" w:space="0"/>
              <w:left w:val="single" w:color="auto" w:sz="4" w:space="0"/>
              <w:bottom w:val="single" w:color="auto" w:sz="4" w:space="0"/>
            </w:tcBorders>
            <w:vAlign w:val="center"/>
          </w:tcPr>
          <w:p w14:paraId="24BE6F4A">
            <w:pPr>
              <w:spacing w:after="0"/>
              <w:rPr>
                <w:rFonts w:ascii="Arial" w:hAnsi="Arial" w:cs="Arial"/>
                <w:sz w:val="20"/>
              </w:rPr>
            </w:pPr>
          </w:p>
        </w:tc>
      </w:tr>
      <w:tr w14:paraId="1C0406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964" w:type="dxa"/>
            <w:tcBorders>
              <w:top w:val="single" w:color="auto" w:sz="4" w:space="0"/>
              <w:bottom w:val="single" w:color="auto" w:sz="4" w:space="0"/>
              <w:right w:val="single" w:color="auto" w:sz="4" w:space="0"/>
            </w:tcBorders>
            <w:vAlign w:val="center"/>
          </w:tcPr>
          <w:p w14:paraId="3F6F2A5C">
            <w:pPr>
              <w:spacing w:after="0"/>
              <w:jc w:val="left"/>
              <w:rPr>
                <w:rFonts w:ascii="Arial" w:hAnsi="Arial" w:cs="Arial"/>
                <w:b/>
                <w:sz w:val="20"/>
                <w:highlight w:val="lightGray"/>
              </w:rPr>
            </w:pPr>
            <w:r>
              <w:rPr>
                <w:rFonts w:ascii="Arial" w:hAnsi="Arial" w:cs="Arial"/>
                <w:b/>
                <w:sz w:val="20"/>
                <w:highlight w:val="lightGray"/>
              </w:rPr>
              <w:t>Pozita:</w:t>
            </w:r>
          </w:p>
        </w:tc>
        <w:tc>
          <w:tcPr>
            <w:tcW w:w="6116" w:type="dxa"/>
            <w:tcBorders>
              <w:top w:val="single" w:color="auto" w:sz="4" w:space="0"/>
              <w:left w:val="single" w:color="auto" w:sz="4" w:space="0"/>
              <w:bottom w:val="single" w:color="auto" w:sz="4" w:space="0"/>
            </w:tcBorders>
            <w:vAlign w:val="center"/>
          </w:tcPr>
          <w:p w14:paraId="26B8D65A">
            <w:pPr>
              <w:spacing w:after="0"/>
              <w:rPr>
                <w:rFonts w:ascii="Arial" w:hAnsi="Arial" w:cs="Arial"/>
                <w:sz w:val="20"/>
              </w:rPr>
            </w:pPr>
          </w:p>
        </w:tc>
      </w:tr>
      <w:tr w14:paraId="0C5E04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64" w:type="dxa"/>
            <w:tcBorders>
              <w:top w:val="single" w:color="auto" w:sz="4" w:space="0"/>
              <w:bottom w:val="single" w:color="auto" w:sz="4" w:space="0"/>
              <w:right w:val="single" w:color="auto" w:sz="4" w:space="0"/>
            </w:tcBorders>
            <w:vAlign w:val="center"/>
          </w:tcPr>
          <w:p w14:paraId="6183B53C">
            <w:pPr>
              <w:spacing w:after="0"/>
              <w:jc w:val="left"/>
              <w:rPr>
                <w:rFonts w:ascii="Arial" w:hAnsi="Arial" w:cs="Arial"/>
                <w:b/>
                <w:sz w:val="20"/>
                <w:highlight w:val="lightGray"/>
              </w:rPr>
            </w:pPr>
            <w:r>
              <w:rPr>
                <w:rFonts w:ascii="Arial" w:hAnsi="Arial" w:cs="Arial"/>
                <w:b/>
                <w:sz w:val="20"/>
                <w:highlight w:val="lightGray"/>
              </w:rPr>
              <w:t>Nënshkrimi:</w:t>
            </w:r>
          </w:p>
        </w:tc>
        <w:tc>
          <w:tcPr>
            <w:tcW w:w="6116" w:type="dxa"/>
            <w:tcBorders>
              <w:top w:val="single" w:color="auto" w:sz="4" w:space="0"/>
              <w:left w:val="single" w:color="auto" w:sz="4" w:space="0"/>
              <w:bottom w:val="single" w:color="auto" w:sz="4" w:space="0"/>
            </w:tcBorders>
            <w:vAlign w:val="center"/>
          </w:tcPr>
          <w:p w14:paraId="14CCB590">
            <w:pPr>
              <w:spacing w:after="0"/>
              <w:rPr>
                <w:rFonts w:ascii="Arial" w:hAnsi="Arial" w:cs="Arial"/>
                <w:sz w:val="20"/>
              </w:rPr>
            </w:pPr>
          </w:p>
        </w:tc>
      </w:tr>
      <w:tr w14:paraId="192B3D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964" w:type="dxa"/>
            <w:tcBorders>
              <w:top w:val="single" w:color="auto" w:sz="4" w:space="0"/>
              <w:bottom w:val="single" w:color="auto" w:sz="4" w:space="0"/>
              <w:right w:val="single" w:color="auto" w:sz="4" w:space="0"/>
            </w:tcBorders>
            <w:vAlign w:val="center"/>
          </w:tcPr>
          <w:p w14:paraId="0DF165A7">
            <w:pPr>
              <w:spacing w:after="0"/>
              <w:jc w:val="left"/>
              <w:rPr>
                <w:rFonts w:ascii="Arial" w:hAnsi="Arial" w:cs="Arial"/>
                <w:b/>
                <w:sz w:val="20"/>
                <w:highlight w:val="lightGray"/>
              </w:rPr>
            </w:pPr>
            <w:r>
              <w:rPr>
                <w:rFonts w:ascii="Arial" w:hAnsi="Arial" w:cs="Arial"/>
                <w:b/>
                <w:sz w:val="20"/>
                <w:highlight w:val="lightGray"/>
              </w:rPr>
              <w:t>Data:</w:t>
            </w:r>
          </w:p>
        </w:tc>
        <w:tc>
          <w:tcPr>
            <w:tcW w:w="6116" w:type="dxa"/>
            <w:tcBorders>
              <w:top w:val="single" w:color="auto" w:sz="4" w:space="0"/>
              <w:left w:val="single" w:color="auto" w:sz="4" w:space="0"/>
              <w:bottom w:val="single" w:color="auto" w:sz="4" w:space="0"/>
            </w:tcBorders>
            <w:vAlign w:val="center"/>
          </w:tcPr>
          <w:p w14:paraId="00D57D0E">
            <w:pPr>
              <w:spacing w:after="0"/>
              <w:rPr>
                <w:rFonts w:ascii="Arial" w:hAnsi="Arial" w:cs="Arial"/>
                <w:sz w:val="20"/>
              </w:rPr>
            </w:pPr>
          </w:p>
        </w:tc>
      </w:tr>
      <w:tr w14:paraId="4DAEF8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964" w:type="dxa"/>
            <w:tcBorders>
              <w:top w:val="single" w:color="auto" w:sz="4" w:space="0"/>
              <w:bottom w:val="single" w:color="auto" w:sz="8" w:space="0"/>
              <w:right w:val="single" w:color="auto" w:sz="4" w:space="0"/>
            </w:tcBorders>
            <w:vAlign w:val="center"/>
          </w:tcPr>
          <w:p w14:paraId="2AD7D9CC">
            <w:pPr>
              <w:spacing w:after="0"/>
              <w:jc w:val="left"/>
              <w:rPr>
                <w:rFonts w:ascii="Arial" w:hAnsi="Arial" w:cs="Arial"/>
                <w:b/>
                <w:sz w:val="20"/>
                <w:highlight w:val="lightGray"/>
              </w:rPr>
            </w:pPr>
            <w:r>
              <w:rPr>
                <w:rFonts w:ascii="Arial" w:hAnsi="Arial" w:cs="Arial"/>
                <w:b/>
                <w:sz w:val="20"/>
                <w:highlight w:val="lightGray"/>
              </w:rPr>
              <w:t>Vula:</w:t>
            </w:r>
          </w:p>
        </w:tc>
        <w:tc>
          <w:tcPr>
            <w:tcW w:w="6116" w:type="dxa"/>
            <w:tcBorders>
              <w:top w:val="single" w:color="auto" w:sz="4" w:space="0"/>
              <w:left w:val="single" w:color="auto" w:sz="4" w:space="0"/>
              <w:bottom w:val="single" w:color="auto" w:sz="8" w:space="0"/>
            </w:tcBorders>
            <w:vAlign w:val="center"/>
          </w:tcPr>
          <w:p w14:paraId="35CB2749">
            <w:pPr>
              <w:spacing w:after="0"/>
              <w:rPr>
                <w:rFonts w:ascii="Arial" w:hAnsi="Arial" w:cs="Arial"/>
                <w:sz w:val="20"/>
              </w:rPr>
            </w:pPr>
          </w:p>
        </w:tc>
      </w:tr>
    </w:tbl>
    <w:p w14:paraId="55F03197">
      <w:pPr>
        <w:pStyle w:val="2"/>
        <w:tabs>
          <w:tab w:val="left" w:pos="3289"/>
        </w:tabs>
        <w:ind w:left="397" w:right="-54" w:hanging="397"/>
        <w:jc w:val="left"/>
        <w:rPr>
          <w:rFonts w:ascii="Arial" w:hAnsi="Arial" w:cs="Arial"/>
          <w:smallCaps/>
          <w:sz w:val="20"/>
          <w:szCs w:val="20"/>
          <w:u w:val="single"/>
          <w:lang w:val="sq-AL"/>
        </w:rPr>
      </w:pPr>
    </w:p>
    <w:p w14:paraId="182F463C">
      <w:pPr>
        <w:pStyle w:val="2"/>
        <w:tabs>
          <w:tab w:val="left" w:pos="3289"/>
        </w:tabs>
        <w:ind w:left="397" w:right="-54" w:hanging="397"/>
        <w:jc w:val="left"/>
        <w:rPr>
          <w:rFonts w:ascii="Arial" w:hAnsi="Arial" w:cs="Arial"/>
          <w:smallCaps/>
          <w:sz w:val="20"/>
          <w:szCs w:val="20"/>
          <w:u w:val="single"/>
          <w:lang w:val="sq-AL"/>
        </w:rPr>
      </w:pPr>
    </w:p>
    <w:p w14:paraId="4A6BF6AF">
      <w:pPr>
        <w:pStyle w:val="2"/>
        <w:tabs>
          <w:tab w:val="left" w:pos="3289"/>
        </w:tabs>
        <w:ind w:left="397" w:right="-54" w:hanging="397"/>
        <w:jc w:val="left"/>
        <w:rPr>
          <w:rFonts w:ascii="Arial" w:hAnsi="Arial" w:cs="Arial"/>
          <w:smallCaps/>
          <w:sz w:val="20"/>
          <w:szCs w:val="20"/>
          <w:u w:val="single"/>
          <w:lang w:val="sq-AL"/>
        </w:rPr>
      </w:pPr>
    </w:p>
    <w:p w14:paraId="73BEF2F3">
      <w:pPr>
        <w:pStyle w:val="2"/>
        <w:tabs>
          <w:tab w:val="left" w:pos="3289"/>
        </w:tabs>
        <w:ind w:left="397" w:right="-54" w:hanging="397"/>
        <w:jc w:val="left"/>
        <w:rPr>
          <w:rFonts w:ascii="Arial" w:hAnsi="Arial" w:cs="Arial"/>
          <w:smallCaps/>
          <w:sz w:val="20"/>
          <w:szCs w:val="20"/>
          <w:u w:val="single"/>
          <w:lang w:val="sq-AL"/>
        </w:rPr>
      </w:pPr>
    </w:p>
    <w:p w14:paraId="26E12DA3"/>
    <w:p w14:paraId="57EF8D58"/>
    <w:p w14:paraId="6AEF07D1"/>
    <w:p w14:paraId="2AEAD7DF">
      <w:pPr>
        <w:pStyle w:val="2"/>
        <w:tabs>
          <w:tab w:val="left" w:pos="3289"/>
        </w:tabs>
        <w:ind w:left="397" w:right="-54" w:hanging="397"/>
        <w:jc w:val="left"/>
        <w:rPr>
          <w:caps/>
          <w:smallCaps/>
          <w:sz w:val="20"/>
          <w:szCs w:val="20"/>
          <w:lang w:val="sq-AL"/>
        </w:rPr>
      </w:pPr>
      <w:r>
        <w:rPr>
          <w:rFonts w:ascii="Arial" w:hAnsi="Arial" w:cs="Arial"/>
          <w:smallCaps/>
          <w:sz w:val="20"/>
          <w:szCs w:val="20"/>
          <w:u w:val="single"/>
          <w:lang w:val="sq-AL"/>
        </w:rPr>
        <w:t>PJESA II E KONTRATES</w:t>
      </w:r>
      <w:r>
        <w:rPr>
          <w:smallCaps/>
          <w:sz w:val="20"/>
          <w:szCs w:val="20"/>
          <w:lang w:val="sq-AL"/>
        </w:rPr>
        <w:t xml:space="preserve">            </w:t>
      </w:r>
      <w:r>
        <w:rPr>
          <w:rFonts w:ascii="Arial" w:hAnsi="Arial" w:cs="Arial"/>
          <w:smallCaps/>
          <w:sz w:val="20"/>
          <w:szCs w:val="20"/>
          <w:lang w:val="sq-AL"/>
        </w:rPr>
        <w:t>KUSHTET E PËRGJITHSHME</w:t>
      </w:r>
      <w:bookmarkEnd w:id="125"/>
      <w:bookmarkStart w:id="126" w:name="_Toc41472559"/>
    </w:p>
    <w:bookmarkEnd w:id="126"/>
    <w:p w14:paraId="0E685E6E">
      <w:pPr>
        <w:pStyle w:val="5"/>
        <w:spacing w:before="120" w:after="120"/>
        <w:rPr>
          <w:rFonts w:cs="Arial"/>
          <w:sz w:val="18"/>
          <w:szCs w:val="18"/>
          <w:lang w:val="sq-AL"/>
        </w:rPr>
      </w:pPr>
      <w:r>
        <w:rPr>
          <w:rFonts w:cs="Arial"/>
          <w:sz w:val="18"/>
          <w:szCs w:val="18"/>
          <w:lang w:val="sq-AL"/>
        </w:rPr>
        <w:t>Neni 1</w:t>
      </w:r>
      <w:r>
        <w:rPr>
          <w:rFonts w:cs="Arial"/>
          <w:sz w:val="18"/>
          <w:szCs w:val="18"/>
          <w:lang w:val="sq-AL"/>
        </w:rPr>
        <w:tab/>
      </w:r>
      <w:r>
        <w:rPr>
          <w:rFonts w:cs="Arial"/>
          <w:sz w:val="18"/>
          <w:szCs w:val="18"/>
          <w:lang w:val="sq-AL"/>
        </w:rPr>
        <w:tab/>
      </w:r>
      <w:r>
        <w:rPr>
          <w:rFonts w:cs="Arial"/>
          <w:sz w:val="18"/>
          <w:szCs w:val="18"/>
          <w:lang w:val="sq-AL"/>
        </w:rPr>
        <w:t xml:space="preserve">     Përkufizimet</w:t>
      </w:r>
    </w:p>
    <w:p w14:paraId="54FB6253">
      <w:pPr>
        <w:rPr>
          <w:rFonts w:ascii="Arial" w:hAnsi="Arial" w:cs="Arial"/>
          <w:sz w:val="18"/>
          <w:szCs w:val="18"/>
        </w:rPr>
      </w:pPr>
      <w:r>
        <w:rPr>
          <w:rFonts w:ascii="Arial" w:hAnsi="Arial" w:cs="Arial"/>
          <w:sz w:val="18"/>
          <w:szCs w:val="18"/>
        </w:rPr>
        <w:t>1.1 “</w:t>
      </w:r>
      <w:r>
        <w:rPr>
          <w:rFonts w:ascii="Arial" w:hAnsi="Arial" w:cs="Arial"/>
          <w:b/>
          <w:sz w:val="18"/>
          <w:szCs w:val="18"/>
        </w:rPr>
        <w:t>Kontratë"</w:t>
      </w:r>
      <w:r>
        <w:rPr>
          <w:rFonts w:ascii="Arial" w:hAnsi="Arial" w:cs="Arial"/>
          <w:sz w:val="18"/>
          <w:szCs w:val="18"/>
        </w:rPr>
        <w:t xml:space="preserve"> </w:t>
      </w:r>
      <w:r>
        <w:rPr>
          <w:rFonts w:ascii="Arial" w:hAnsi="Arial" w:cs="Arial"/>
          <w:color w:val="000000"/>
          <w:sz w:val="18"/>
          <w:szCs w:val="18"/>
          <w:lang w:eastAsia="en-US"/>
        </w:rPr>
        <w:t>do të thotë marrëveshje të lidhur ndërmjet Autoritetit kontraktues dhe Ofruesit të Shërbimeve, siç është shënuar në formularin e kontratës të nënshkruar nga palët, duke përfshirë të gjitha shtojcat për këtë dhe të gjitha dokumentet e inkorporuar me referencë në të</w:t>
      </w:r>
      <w:r>
        <w:rPr>
          <w:rFonts w:ascii="Arial" w:hAnsi="Arial" w:cs="Arial"/>
          <w:sz w:val="18"/>
          <w:szCs w:val="18"/>
        </w:rPr>
        <w:t xml:space="preserve">. </w:t>
      </w:r>
    </w:p>
    <w:p w14:paraId="4AF7E51D">
      <w:pPr>
        <w:rPr>
          <w:rFonts w:ascii="Arial" w:hAnsi="Arial" w:cs="Arial"/>
          <w:sz w:val="18"/>
          <w:szCs w:val="18"/>
        </w:rPr>
      </w:pPr>
      <w:r>
        <w:rPr>
          <w:rFonts w:ascii="Arial" w:hAnsi="Arial" w:cs="Arial"/>
          <w:sz w:val="18"/>
          <w:szCs w:val="18"/>
        </w:rPr>
        <w:t>1.2 “</w:t>
      </w:r>
      <w:r>
        <w:rPr>
          <w:rFonts w:ascii="Arial" w:hAnsi="Arial" w:cs="Arial"/>
          <w:b/>
          <w:sz w:val="18"/>
          <w:szCs w:val="18"/>
        </w:rPr>
        <w:t>Shërbimet”</w:t>
      </w:r>
      <w:r>
        <w:rPr>
          <w:rFonts w:ascii="Arial" w:hAnsi="Arial" w:cs="Arial"/>
          <w:sz w:val="18"/>
          <w:szCs w:val="18"/>
        </w:rPr>
        <w:t xml:space="preserve"> do të thotë shërbimet qe do te ekzekutohen nga ana e Ofruesit e Shërbimeve në pajtim me Specifikimet dhe Përshkrimin e Çmimit te përfshira në Tenderin e Ofruesit të Shërbimeve.</w:t>
      </w:r>
    </w:p>
    <w:p w14:paraId="231D7702">
      <w:pPr>
        <w:spacing w:after="120"/>
        <w:rPr>
          <w:rFonts w:ascii="Arial" w:hAnsi="Arial" w:cs="Arial"/>
          <w:b/>
          <w:sz w:val="18"/>
          <w:szCs w:val="18"/>
        </w:rPr>
      </w:pPr>
      <w:r>
        <w:rPr>
          <w:rFonts w:ascii="Arial" w:hAnsi="Arial" w:cs="Arial"/>
          <w:sz w:val="18"/>
          <w:szCs w:val="18"/>
        </w:rPr>
        <w:t xml:space="preserve">1.3 </w:t>
      </w:r>
      <w:r>
        <w:rPr>
          <w:rFonts w:ascii="Arial" w:hAnsi="Arial" w:cs="Arial"/>
          <w:b/>
          <w:sz w:val="18"/>
          <w:szCs w:val="18"/>
        </w:rPr>
        <w:t xml:space="preserve">“Ofrues i shërbimeve” </w:t>
      </w:r>
      <w:r>
        <w:rPr>
          <w:rFonts w:ascii="Arial" w:hAnsi="Arial" w:cs="Arial"/>
          <w:sz w:val="18"/>
          <w:szCs w:val="18"/>
        </w:rPr>
        <w:t xml:space="preserve">është Operatori Ekonomik ose grupi i Operatorëve Ekonomik, i caktuar në formularin e kontratës, që është palë në kontratë dhe i detyruar të kryej detyrat në bazë të marrëveshjes, dhe që për detyrat e kryera do të marrë shumën e rënë dakord në formularin e kontratës. </w:t>
      </w:r>
    </w:p>
    <w:p w14:paraId="3C6B49AA">
      <w:pPr>
        <w:spacing w:after="120"/>
        <w:rPr>
          <w:rFonts w:ascii="Arial" w:hAnsi="Arial" w:cs="Arial"/>
          <w:b/>
          <w:sz w:val="18"/>
          <w:szCs w:val="18"/>
        </w:rPr>
      </w:pPr>
      <w:r>
        <w:rPr>
          <w:rFonts w:ascii="Arial" w:hAnsi="Arial" w:cs="Arial"/>
          <w:sz w:val="18"/>
          <w:szCs w:val="18"/>
        </w:rPr>
        <w:t xml:space="preserve">1.4 </w:t>
      </w:r>
      <w:r>
        <w:rPr>
          <w:rFonts w:ascii="Arial" w:hAnsi="Arial" w:cs="Arial"/>
          <w:b/>
          <w:sz w:val="18"/>
          <w:szCs w:val="18"/>
        </w:rPr>
        <w:t>“Personeli”</w:t>
      </w:r>
      <w:r>
        <w:rPr>
          <w:rFonts w:ascii="Arial" w:hAnsi="Arial" w:cs="Arial"/>
          <w:sz w:val="18"/>
          <w:szCs w:val="18"/>
        </w:rPr>
        <w:t xml:space="preserve"> do të thotë personat e angazhuar nga Ofruesi i Shërbimeve ose nga Nën-kontraktuesi si të punësuar dhe të caktuar për kryerjen e shërbimeve ose të ndonjë pjese të tyre.</w:t>
      </w:r>
    </w:p>
    <w:p w14:paraId="7AF5D299">
      <w:pPr>
        <w:widowControl w:val="0"/>
        <w:rPr>
          <w:rFonts w:ascii="Arial" w:hAnsi="Arial" w:cs="Arial"/>
          <w:sz w:val="18"/>
          <w:szCs w:val="18"/>
        </w:rPr>
      </w:pPr>
      <w:r>
        <w:rPr>
          <w:rFonts w:ascii="Arial" w:hAnsi="Arial" w:cs="Arial"/>
          <w:sz w:val="18"/>
          <w:szCs w:val="18"/>
        </w:rPr>
        <w:t xml:space="preserve">1.5 </w:t>
      </w:r>
      <w:r>
        <w:rPr>
          <w:rFonts w:ascii="Arial" w:hAnsi="Arial" w:cs="Arial"/>
          <w:b/>
          <w:sz w:val="18"/>
          <w:szCs w:val="18"/>
        </w:rPr>
        <w:t>“Çmimi i kontratës”</w:t>
      </w:r>
      <w:r>
        <w:rPr>
          <w:rFonts w:ascii="Arial" w:hAnsi="Arial" w:cs="Arial"/>
          <w:sz w:val="18"/>
          <w:szCs w:val="18"/>
        </w:rPr>
        <w:t xml:space="preserve"> do të thotë shuma e deklaruar në Marrëveshjen që përfaqëson shumën totale të pagueshme për ofrimin e Shërbimeve.</w:t>
      </w:r>
    </w:p>
    <w:p w14:paraId="439D419A">
      <w:pPr>
        <w:widowControl w:val="0"/>
        <w:rPr>
          <w:rFonts w:ascii="Arial" w:hAnsi="Arial" w:cs="Arial"/>
          <w:sz w:val="18"/>
          <w:szCs w:val="18"/>
        </w:rPr>
      </w:pPr>
      <w:r>
        <w:rPr>
          <w:rFonts w:ascii="Arial" w:hAnsi="Arial" w:cs="Arial"/>
          <w:sz w:val="18"/>
          <w:szCs w:val="18"/>
        </w:rPr>
        <w:t xml:space="preserve">1.6 </w:t>
      </w:r>
      <w:r>
        <w:rPr>
          <w:rFonts w:ascii="Arial" w:hAnsi="Arial" w:cs="Arial"/>
          <w:b/>
          <w:sz w:val="18"/>
          <w:szCs w:val="18"/>
        </w:rPr>
        <w:t>“Nënkontraktuesi”</w:t>
      </w:r>
      <w:r>
        <w:rPr>
          <w:rFonts w:ascii="Arial" w:hAnsi="Arial" w:cs="Arial"/>
          <w:sz w:val="18"/>
          <w:szCs w:val="18"/>
        </w:rPr>
        <w:t xml:space="preserve"> do të thotë çdo person fizik, privat ose subjekt i qeverisë, ose kombinimi i tyre, duke përfshirë edhe pasardhësit e tij ligjor ose transferimet e lejuara, për të cilin çdo pjesë e Shërbimeve do të sigurohet ose ekzekutimi i ndonjë pjese të Shërbimeve është nënkontraktuar nga Ofruesi i Shërbimeve. </w:t>
      </w:r>
    </w:p>
    <w:p w14:paraId="02EA7AE7">
      <w:pPr>
        <w:pStyle w:val="124"/>
        <w:numPr>
          <w:ilvl w:val="0"/>
          <w:numId w:val="0"/>
        </w:numPr>
        <w:spacing w:after="0"/>
        <w:jc w:val="both"/>
        <w:rPr>
          <w:rFonts w:ascii="Arial" w:hAnsi="Arial" w:cs="Arial"/>
          <w:sz w:val="18"/>
          <w:szCs w:val="18"/>
        </w:rPr>
      </w:pPr>
      <w:r>
        <w:rPr>
          <w:rFonts w:ascii="Arial" w:hAnsi="Arial" w:cs="Arial"/>
          <w:sz w:val="18"/>
          <w:szCs w:val="18"/>
        </w:rPr>
        <w:t xml:space="preserve">1.7 </w:t>
      </w:r>
      <w:r>
        <w:rPr>
          <w:rFonts w:ascii="Arial" w:hAnsi="Arial" w:cs="Arial"/>
          <w:b/>
          <w:sz w:val="18"/>
          <w:szCs w:val="18"/>
        </w:rPr>
        <w:t>“Palë”</w:t>
      </w:r>
      <w:r>
        <w:rPr>
          <w:rFonts w:ascii="Arial" w:hAnsi="Arial" w:cs="Arial"/>
          <w:sz w:val="18"/>
          <w:szCs w:val="18"/>
        </w:rPr>
        <w:t xml:space="preserve"> nënkupton Autoritetin Kontraktues ose Ofruesin i Shërbimeve, siç mund të jetë rasti, dhe “Palët” nënkupton të dy prej tyre.</w:t>
      </w:r>
    </w:p>
    <w:p w14:paraId="7879AE1B">
      <w:pPr>
        <w:pStyle w:val="124"/>
        <w:numPr>
          <w:ilvl w:val="0"/>
          <w:numId w:val="0"/>
        </w:numPr>
        <w:spacing w:after="0"/>
        <w:jc w:val="both"/>
        <w:rPr>
          <w:rFonts w:ascii="Arial" w:hAnsi="Arial" w:cs="Arial"/>
          <w:sz w:val="18"/>
          <w:szCs w:val="18"/>
        </w:rPr>
      </w:pPr>
    </w:p>
    <w:p w14:paraId="6F1938DF">
      <w:pPr>
        <w:pStyle w:val="124"/>
        <w:numPr>
          <w:ilvl w:val="0"/>
          <w:numId w:val="0"/>
        </w:numPr>
        <w:spacing w:after="0"/>
        <w:rPr>
          <w:rFonts w:ascii="Arial" w:hAnsi="Arial" w:cs="Arial"/>
          <w:sz w:val="18"/>
          <w:szCs w:val="18"/>
        </w:rPr>
      </w:pPr>
      <w:r>
        <w:rPr>
          <w:rFonts w:ascii="Arial" w:hAnsi="Arial" w:cs="Arial"/>
          <w:sz w:val="18"/>
          <w:szCs w:val="18"/>
        </w:rPr>
        <w:t xml:space="preserve">1.8 </w:t>
      </w:r>
      <w:r>
        <w:rPr>
          <w:rFonts w:ascii="Arial" w:hAnsi="Arial" w:cs="Arial"/>
          <w:b/>
          <w:sz w:val="18"/>
          <w:szCs w:val="18"/>
        </w:rPr>
        <w:t>“Autoriteti Kontraktues”</w:t>
      </w:r>
      <w:r>
        <w:rPr>
          <w:rFonts w:ascii="Arial" w:hAnsi="Arial" w:cs="Arial"/>
          <w:sz w:val="18"/>
          <w:szCs w:val="18"/>
        </w:rPr>
        <w:t xml:space="preserve"> nënkupton autoritetin që blen Shërbimet, siç specifikohet në Kontratë.</w:t>
      </w:r>
    </w:p>
    <w:p w14:paraId="35A7A58B">
      <w:pPr>
        <w:pStyle w:val="124"/>
        <w:numPr>
          <w:ilvl w:val="0"/>
          <w:numId w:val="0"/>
        </w:numPr>
        <w:spacing w:after="0"/>
        <w:rPr>
          <w:rFonts w:ascii="Arial" w:hAnsi="Arial" w:cs="Arial"/>
          <w:sz w:val="18"/>
          <w:szCs w:val="18"/>
        </w:rPr>
      </w:pPr>
    </w:p>
    <w:p w14:paraId="7B8699F0">
      <w:pPr>
        <w:spacing w:after="0"/>
        <w:rPr>
          <w:rFonts w:ascii="Arial" w:hAnsi="Arial" w:cs="Arial"/>
          <w:sz w:val="18"/>
          <w:szCs w:val="18"/>
        </w:rPr>
      </w:pPr>
      <w:r>
        <w:rPr>
          <w:rFonts w:ascii="Arial" w:hAnsi="Arial" w:cs="Arial"/>
          <w:sz w:val="18"/>
          <w:szCs w:val="18"/>
        </w:rPr>
        <w:t>1.9</w:t>
      </w:r>
      <w:r>
        <w:rPr>
          <w:rFonts w:ascii="Arial" w:hAnsi="Arial" w:cs="Arial"/>
          <w:b/>
          <w:sz w:val="18"/>
          <w:szCs w:val="18"/>
        </w:rPr>
        <w:t xml:space="preserve"> “KPK” </w:t>
      </w:r>
      <w:r>
        <w:rPr>
          <w:rFonts w:ascii="Arial" w:hAnsi="Arial" w:cs="Arial"/>
          <w:sz w:val="18"/>
          <w:szCs w:val="18"/>
        </w:rPr>
        <w:t>nënkupton Kushtet e Përgjithshme të Kontratës.</w:t>
      </w:r>
    </w:p>
    <w:p w14:paraId="75CC8139">
      <w:pPr>
        <w:spacing w:after="0"/>
        <w:rPr>
          <w:rFonts w:ascii="Arial" w:hAnsi="Arial" w:cs="Arial"/>
          <w:b/>
          <w:sz w:val="18"/>
          <w:szCs w:val="18"/>
        </w:rPr>
      </w:pPr>
    </w:p>
    <w:p w14:paraId="41865D6B">
      <w:pPr>
        <w:rPr>
          <w:rFonts w:ascii="Arial" w:hAnsi="Arial" w:cs="Arial"/>
          <w:sz w:val="18"/>
          <w:szCs w:val="18"/>
        </w:rPr>
      </w:pPr>
      <w:r>
        <w:rPr>
          <w:rFonts w:ascii="Arial" w:hAnsi="Arial" w:cs="Arial"/>
          <w:sz w:val="18"/>
          <w:szCs w:val="18"/>
        </w:rPr>
        <w:t>1.10</w:t>
      </w:r>
      <w:r>
        <w:rPr>
          <w:rFonts w:ascii="Arial" w:hAnsi="Arial" w:cs="Arial"/>
          <w:b/>
          <w:sz w:val="18"/>
          <w:szCs w:val="18"/>
        </w:rPr>
        <w:t xml:space="preserve"> “KVK” </w:t>
      </w:r>
      <w:r>
        <w:rPr>
          <w:rFonts w:ascii="Arial" w:hAnsi="Arial" w:cs="Arial"/>
          <w:sz w:val="18"/>
          <w:szCs w:val="18"/>
        </w:rPr>
        <w:t>nënkupton Kushtet e Veçanta të Kontratës.</w:t>
      </w:r>
    </w:p>
    <w:p w14:paraId="5ABAB97F">
      <w:pPr>
        <w:spacing w:after="120"/>
        <w:rPr>
          <w:rFonts w:ascii="Arial" w:hAnsi="Arial" w:cs="Arial"/>
          <w:sz w:val="18"/>
          <w:szCs w:val="18"/>
        </w:rPr>
      </w:pPr>
      <w:r>
        <w:rPr>
          <w:rFonts w:ascii="Arial" w:hAnsi="Arial" w:cs="Arial"/>
          <w:b/>
          <w:sz w:val="18"/>
          <w:szCs w:val="18"/>
        </w:rPr>
        <w:t xml:space="preserve">Neni 2 </w:t>
      </w:r>
      <w:r>
        <w:rPr>
          <w:rFonts w:ascii="Arial" w:hAnsi="Arial" w:cs="Arial"/>
          <w:b/>
          <w:sz w:val="18"/>
          <w:szCs w:val="18"/>
        </w:rPr>
        <w:tab/>
      </w:r>
      <w:r>
        <w:rPr>
          <w:rFonts w:ascii="Arial" w:hAnsi="Arial" w:cs="Arial"/>
          <w:b/>
          <w:sz w:val="18"/>
          <w:szCs w:val="18"/>
        </w:rPr>
        <w:t xml:space="preserve"> Ligji i aplikueshëm dhe gjuha</w:t>
      </w:r>
      <w:r>
        <w:rPr>
          <w:rFonts w:ascii="Arial" w:hAnsi="Arial" w:cs="Arial"/>
          <w:sz w:val="18"/>
          <w:szCs w:val="18"/>
        </w:rPr>
        <w:t xml:space="preserve"> </w:t>
      </w:r>
    </w:p>
    <w:p w14:paraId="486B1EFE">
      <w:pPr>
        <w:spacing w:after="120"/>
        <w:ind w:left="284" w:hanging="284"/>
        <w:rPr>
          <w:rFonts w:ascii="Arial" w:hAnsi="Arial" w:cs="Arial"/>
          <w:sz w:val="18"/>
          <w:szCs w:val="18"/>
        </w:rPr>
      </w:pPr>
      <w:r>
        <w:rPr>
          <w:rFonts w:ascii="Arial" w:hAnsi="Arial" w:cs="Arial"/>
          <w:sz w:val="18"/>
          <w:szCs w:val="18"/>
        </w:rPr>
        <w:t>2.1 KVK e saktësojnë cili është ligji që i përcakton të gjitha çështjet që nuk janë të mbuluara në kontratë.</w:t>
      </w:r>
    </w:p>
    <w:p w14:paraId="5090D8A7">
      <w:pPr>
        <w:spacing w:after="120"/>
        <w:rPr>
          <w:rFonts w:ascii="Arial" w:hAnsi="Arial" w:cs="Arial"/>
          <w:sz w:val="18"/>
          <w:szCs w:val="18"/>
        </w:rPr>
      </w:pPr>
      <w:r>
        <w:rPr>
          <w:rFonts w:ascii="Arial" w:hAnsi="Arial" w:cs="Arial"/>
          <w:sz w:val="18"/>
          <w:szCs w:val="18"/>
        </w:rPr>
        <w:t>2.2 Kontrata dhe të gjitha komunikimet e shkruara ndërmjet palëve hartohen në gjuhën e specifikuar në KVK.</w:t>
      </w:r>
    </w:p>
    <w:p w14:paraId="5FD46B76">
      <w:pPr>
        <w:widowControl w:val="0"/>
        <w:spacing w:after="120"/>
        <w:rPr>
          <w:rFonts w:ascii="Arial" w:hAnsi="Arial" w:cs="Arial"/>
          <w:b/>
          <w:sz w:val="18"/>
          <w:szCs w:val="18"/>
        </w:rPr>
      </w:pPr>
      <w:r>
        <w:rPr>
          <w:rFonts w:ascii="Arial" w:hAnsi="Arial" w:cs="Arial"/>
          <w:b/>
          <w:sz w:val="18"/>
          <w:szCs w:val="18"/>
        </w:rPr>
        <w:t>Neni 3</w:t>
      </w:r>
      <w:r>
        <w:rPr>
          <w:rFonts w:ascii="Arial" w:hAnsi="Arial" w:cs="Arial"/>
          <w:b/>
          <w:sz w:val="18"/>
          <w:szCs w:val="18"/>
        </w:rPr>
        <w:tab/>
      </w:r>
      <w:r>
        <w:rPr>
          <w:rFonts w:ascii="Arial" w:hAnsi="Arial" w:cs="Arial"/>
          <w:b/>
          <w:sz w:val="18"/>
          <w:szCs w:val="18"/>
        </w:rPr>
        <w:tab/>
      </w:r>
      <w:r>
        <w:rPr>
          <w:rFonts w:ascii="Arial (W1)" w:hAnsi="Arial (W1)" w:cs="Arial"/>
          <w:b/>
          <w:sz w:val="18"/>
          <w:szCs w:val="18"/>
        </w:rPr>
        <w:t xml:space="preserve">Transferimi </w:t>
      </w:r>
      <w:r>
        <w:rPr>
          <w:rFonts w:ascii="Arial" w:hAnsi="Arial" w:cs="Arial"/>
          <w:b/>
          <w:sz w:val="18"/>
          <w:szCs w:val="18"/>
        </w:rPr>
        <w:t xml:space="preserve"> </w:t>
      </w:r>
    </w:p>
    <w:p w14:paraId="732B842D">
      <w:pPr>
        <w:widowControl w:val="0"/>
        <w:spacing w:after="120"/>
        <w:rPr>
          <w:rFonts w:ascii="Arial" w:hAnsi="Arial" w:cs="Arial"/>
          <w:sz w:val="18"/>
          <w:szCs w:val="18"/>
        </w:rPr>
      </w:pPr>
      <w:r>
        <w:rPr>
          <w:rFonts w:ascii="Arial" w:hAnsi="Arial" w:cs="Arial"/>
          <w:sz w:val="18"/>
          <w:szCs w:val="18"/>
        </w:rPr>
        <w:t>3.1 Transferimi do të jetë valid vetëm nëse ka marrëveshje të shkruar përmes të cilës Ofruesi i Shërbimeve e transferon kontratën e vet ose një pjesë të saj te një palë e tretë.</w:t>
      </w:r>
    </w:p>
    <w:p w14:paraId="677AAB48">
      <w:pPr>
        <w:widowControl w:val="0"/>
        <w:spacing w:after="120"/>
        <w:rPr>
          <w:rFonts w:ascii="Arial" w:hAnsi="Arial" w:cs="Arial"/>
          <w:sz w:val="18"/>
          <w:szCs w:val="18"/>
        </w:rPr>
      </w:pPr>
      <w:r>
        <w:rPr>
          <w:rFonts w:ascii="Arial" w:hAnsi="Arial" w:cs="Arial"/>
          <w:sz w:val="18"/>
          <w:szCs w:val="18"/>
        </w:rPr>
        <w:t>3.2 Ofruesi i Shërbimeve nuk mundet që, pa miratim paraprak me shkrim nga Autoriteti kontraktues, ta transferojë kontratën ose një pjesë të saj, ose ndonjë përfitim apo interes nga ajo, përveç në këto raste:</w:t>
      </w:r>
    </w:p>
    <w:p w14:paraId="6809C996">
      <w:pPr>
        <w:widowControl w:val="0"/>
        <w:tabs>
          <w:tab w:val="left" w:pos="567"/>
        </w:tabs>
        <w:ind w:left="284"/>
        <w:rPr>
          <w:rFonts w:ascii="Arial" w:hAnsi="Arial" w:cs="Arial"/>
          <w:sz w:val="18"/>
          <w:szCs w:val="18"/>
        </w:rPr>
      </w:pPr>
      <w:r>
        <w:rPr>
          <w:rFonts w:ascii="Arial" w:hAnsi="Arial" w:cs="Arial"/>
          <w:sz w:val="18"/>
          <w:szCs w:val="18"/>
        </w:rPr>
        <w:t xml:space="preserve">a)  kur ka ngarkesë për pagesë, në favor të bankierëve të Ofruesit të Shërbimeve, të shumave që duhet të paguhen ose që do të bëhen borxh sipas kontratës; ose </w:t>
      </w:r>
    </w:p>
    <w:p w14:paraId="5A8776ED">
      <w:pPr>
        <w:widowControl w:val="0"/>
        <w:tabs>
          <w:tab w:val="left" w:pos="567"/>
        </w:tabs>
        <w:ind w:left="284"/>
        <w:rPr>
          <w:rFonts w:ascii="Arial" w:hAnsi="Arial" w:cs="Arial"/>
          <w:sz w:val="18"/>
          <w:szCs w:val="18"/>
        </w:rPr>
      </w:pPr>
      <w:r>
        <w:rPr>
          <w:rFonts w:ascii="Arial" w:hAnsi="Arial" w:cs="Arial"/>
          <w:sz w:val="18"/>
          <w:szCs w:val="18"/>
        </w:rPr>
        <w:t>b) në rast të dhënies së të drejtës së Ofruesit të Shërbimeve siguruesve të Ofruesit të Shërbimeve për të kërkuar pagesën nga ndonjë person tjetër i detyruar në rastet kur siguruesit e kanë shkarkuar humbjen ose detyrimin e Ofruesit të Shërbimeve.</w:t>
      </w:r>
    </w:p>
    <w:p w14:paraId="19EA5078">
      <w:pPr>
        <w:widowControl w:val="0"/>
        <w:spacing w:after="120"/>
        <w:rPr>
          <w:rFonts w:ascii="Arial" w:hAnsi="Arial" w:cs="Arial"/>
          <w:sz w:val="18"/>
          <w:szCs w:val="18"/>
        </w:rPr>
      </w:pPr>
      <w:r>
        <w:rPr>
          <w:rFonts w:ascii="Arial" w:hAnsi="Arial" w:cs="Arial"/>
          <w:sz w:val="18"/>
          <w:szCs w:val="18"/>
        </w:rPr>
        <w:t xml:space="preserve">3.3 Për qëllimet e nenit 3.2, aprovimi i një transferimi nga Autoriteti kontraktues nuk do ta lirojë Ofruesin e Shërbimeve nga obligimet e veta për pjesën e kontratës që tashmë është realizuar ose për pjesën që nuk është bartur.       </w:t>
      </w:r>
    </w:p>
    <w:p w14:paraId="4D1DD46C">
      <w:pPr>
        <w:widowControl w:val="0"/>
        <w:tabs>
          <w:tab w:val="left" w:pos="567"/>
        </w:tabs>
        <w:spacing w:after="120"/>
        <w:rPr>
          <w:rFonts w:ascii="Arial" w:hAnsi="Arial" w:cs="Arial"/>
          <w:sz w:val="18"/>
          <w:szCs w:val="18"/>
        </w:rPr>
      </w:pPr>
      <w:r>
        <w:rPr>
          <w:rFonts w:ascii="Arial" w:hAnsi="Arial" w:cs="Arial"/>
          <w:sz w:val="18"/>
          <w:szCs w:val="18"/>
        </w:rPr>
        <w:t>3.4 Pranuesit e dispozitave të kontratës duhet të plotësojnë kriteret e përshtatshmërisë që zbatohen për dhënien e kontratës përveç në raste kur transferimi bëhet në bankë apo kompani të sigurimit ose institucion tjetër financiar.</w:t>
      </w:r>
    </w:p>
    <w:p w14:paraId="0C6B225B">
      <w:pPr>
        <w:pStyle w:val="5"/>
        <w:spacing w:before="120" w:after="120"/>
        <w:rPr>
          <w:rFonts w:cs="Arial"/>
          <w:sz w:val="18"/>
          <w:szCs w:val="18"/>
          <w:lang w:val="sq-AL"/>
        </w:rPr>
      </w:pPr>
      <w:r>
        <w:rPr>
          <w:rFonts w:cs="Arial"/>
          <w:sz w:val="18"/>
          <w:szCs w:val="18"/>
          <w:lang w:val="sq-AL"/>
        </w:rPr>
        <w:t xml:space="preserve">Neni 4 </w:t>
      </w:r>
      <w:r>
        <w:rPr>
          <w:rFonts w:cs="Arial"/>
          <w:sz w:val="18"/>
          <w:szCs w:val="18"/>
          <w:lang w:val="sq-AL"/>
        </w:rPr>
        <w:tab/>
      </w:r>
      <w:r>
        <w:rPr>
          <w:rFonts w:cs="Arial"/>
          <w:sz w:val="18"/>
          <w:szCs w:val="18"/>
          <w:lang w:val="sq-AL"/>
        </w:rPr>
        <w:tab/>
      </w:r>
      <w:r>
        <w:rPr>
          <w:rFonts w:ascii="Arial (W1)" w:hAnsi="Arial (W1)" w:cs="Arial"/>
          <w:sz w:val="18"/>
          <w:szCs w:val="18"/>
          <w:lang w:val="sq-AL"/>
        </w:rPr>
        <w:t>Nën-kontraktimi</w:t>
      </w:r>
      <w:r>
        <w:rPr>
          <w:rFonts w:cs="Arial"/>
          <w:sz w:val="18"/>
          <w:szCs w:val="18"/>
          <w:lang w:val="sq-AL"/>
        </w:rPr>
        <w:t xml:space="preserve"> </w:t>
      </w:r>
    </w:p>
    <w:p w14:paraId="0511BED9">
      <w:pPr>
        <w:widowControl w:val="0"/>
        <w:spacing w:after="120"/>
        <w:rPr>
          <w:rFonts w:ascii="Arial" w:hAnsi="Arial" w:cs="Arial"/>
          <w:sz w:val="18"/>
          <w:szCs w:val="18"/>
        </w:rPr>
      </w:pPr>
      <w:r>
        <w:rPr>
          <w:rFonts w:ascii="Arial" w:hAnsi="Arial" w:cs="Arial"/>
          <w:sz w:val="18"/>
          <w:szCs w:val="18"/>
        </w:rPr>
        <w:t xml:space="preserve">4.1 Nënkontrata është valide vetëm nëse ka marrëveshje të shkruar përmes së cilës Ofruesi i Shërbimeve ia beson realizimin e një pjese të kontratës së tij një pale të tretë. </w:t>
      </w:r>
    </w:p>
    <w:p w14:paraId="14D350BE">
      <w:pPr>
        <w:tabs>
          <w:tab w:val="left" w:pos="4176"/>
        </w:tabs>
        <w:rPr>
          <w:b/>
          <w:sz w:val="20"/>
        </w:rPr>
      </w:pPr>
      <w:r>
        <w:rPr>
          <w:rFonts w:ascii="Arial" w:hAnsi="Arial" w:cs="Arial"/>
          <w:sz w:val="18"/>
          <w:szCs w:val="18"/>
        </w:rPr>
        <w:t>4.2 Elementet e kontratës që do të nënkontraktohen dhe identiteti i nënkontraktuesve i bëhen të ditura Autoritetit kontraktues me rastin e dorëzimit te ofertës. Ne rast te ndryshimit te nënkontraktuesve gjate implementimit te kontratës, Ofruesi i Shërbimeve duhet te njoftoj me shkrim Autoritetin Kontraktues. Autoriteti kontraktues do ta lajmërojë Ofruesin e Shërbimeve për vendimin e vet brenda 30 ditë pune nga marrja e njoftimit, duke i paraqitur arsyet e veta nëse nuk lëshohet autorizimi. Ofruesi i Shërbimeve nuk nënkontrakton pa autorizim me shkrim nga Autoriteti Kontraktues. Te gjithë nënkontraktuesit e propozuar duhet te përmbushin kërkesat e përshtatshmërisë.</w:t>
      </w:r>
    </w:p>
    <w:p w14:paraId="09CD4E8F">
      <w:pPr>
        <w:tabs>
          <w:tab w:val="left" w:pos="4176"/>
        </w:tabs>
        <w:rPr>
          <w:b/>
          <w:sz w:val="20"/>
        </w:rPr>
      </w:pPr>
      <w:r>
        <w:rPr>
          <w:rFonts w:ascii="Arial" w:hAnsi="Arial" w:cs="Arial"/>
          <w:sz w:val="18"/>
          <w:szCs w:val="18"/>
        </w:rPr>
        <w:t xml:space="preserve">4.3 Autoriteti kontraktues nuk njeh lidhje kontraktore ndërmjet vetes dhe nënkontraktuesve megjithatë mund të siguroj, ku e konsideron si të nevojshme,  pagesat direkte për nënkontraktorët. </w:t>
      </w:r>
    </w:p>
    <w:p w14:paraId="244B8D02">
      <w:pPr>
        <w:widowControl w:val="0"/>
        <w:spacing w:after="120"/>
        <w:rPr>
          <w:rFonts w:ascii="Arial" w:hAnsi="Arial" w:cs="Arial"/>
          <w:sz w:val="18"/>
          <w:szCs w:val="18"/>
        </w:rPr>
      </w:pPr>
      <w:r>
        <w:rPr>
          <w:rFonts w:ascii="Arial" w:hAnsi="Arial" w:cs="Arial"/>
          <w:sz w:val="18"/>
          <w:szCs w:val="18"/>
        </w:rPr>
        <w:t>4.4 Ofruesi i Shërbimeve është përgjegjës për aktet, gabimet dhe neglizhencën e nënkontraktuesve të vet si dhe të agjentëve ose të punësuarve, në të njëjtën mënyrë si po të ishin akte, gabime ose neglizhencë e Ofruesit të Shërbimeve, agjentëve të tij ose punëtorëve të tij. Aprovimi i nënkontraktimit të ndonjë pjese të kontratës ose aprovimi i nënkontraktuesit nga ana e Autoritetit kontraktues nuk e liron Ofruesin e Shërbimeve  nga obligimet e tij sipas kontratës.</w:t>
      </w:r>
    </w:p>
    <w:p w14:paraId="016D3D07">
      <w:pPr>
        <w:tabs>
          <w:tab w:val="left" w:pos="993"/>
        </w:tabs>
        <w:spacing w:after="120"/>
        <w:ind w:left="567" w:right="113" w:hanging="567"/>
        <w:rPr>
          <w:rFonts w:ascii="Arial" w:hAnsi="Arial" w:cs="Arial"/>
          <w:color w:val="FF0000"/>
          <w:sz w:val="18"/>
          <w:szCs w:val="18"/>
        </w:rPr>
      </w:pPr>
      <w:r>
        <w:rPr>
          <w:rFonts w:ascii="Arial" w:hAnsi="Arial" w:cs="Arial"/>
          <w:b/>
          <w:sz w:val="18"/>
          <w:szCs w:val="18"/>
        </w:rPr>
        <w:t>Neni 5</w:t>
      </w:r>
      <w:r>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Tatimet dhe Doganat</w:t>
      </w:r>
    </w:p>
    <w:p w14:paraId="56CAEAF7">
      <w:pPr>
        <w:tabs>
          <w:tab w:val="left" w:pos="900"/>
        </w:tabs>
        <w:spacing w:after="120"/>
        <w:rPr>
          <w:rFonts w:ascii="Arial" w:hAnsi="Arial" w:cs="Arial"/>
          <w:sz w:val="18"/>
          <w:szCs w:val="18"/>
        </w:rPr>
      </w:pPr>
      <w:r>
        <w:rPr>
          <w:rFonts w:ascii="Arial" w:hAnsi="Arial" w:cs="Arial"/>
          <w:sz w:val="18"/>
          <w:szCs w:val="18"/>
        </w:rPr>
        <w:t xml:space="preserve">5.1 Ofruesi i Shërbimeve është përgjegjës për të gjitha taksat dhe doganat në pajtim me Ligjin e Republikës së Kosovës. </w:t>
      </w:r>
    </w:p>
    <w:p w14:paraId="41A4F321">
      <w:pPr>
        <w:autoSpaceDE w:val="0"/>
        <w:autoSpaceDN w:val="0"/>
        <w:adjustRightInd w:val="0"/>
        <w:spacing w:after="120"/>
        <w:rPr>
          <w:rFonts w:ascii="Arial" w:hAnsi="Arial" w:cs="Arial"/>
          <w:sz w:val="18"/>
          <w:szCs w:val="18"/>
        </w:rPr>
      </w:pPr>
      <w:r>
        <w:rPr>
          <w:rFonts w:ascii="Arial" w:hAnsi="Arial" w:cs="Arial"/>
          <w:sz w:val="18"/>
          <w:szCs w:val="18"/>
        </w:rPr>
        <w:t>5.2 Ofruesi i Shërbimeve, Nënkontraktuesit, dhe Personeli i tyre do t’i paguaj ato taksa, dogana, tarifa dhe detyrime të tjera që mund të vendosen sipas ligjit në fuqi, shuma e të cilave mendohet të ketë qenë e përfshirë në çmimin e kontratës.</w:t>
      </w:r>
    </w:p>
    <w:p w14:paraId="700FFF6B">
      <w:pPr>
        <w:tabs>
          <w:tab w:val="left" w:pos="993"/>
        </w:tabs>
        <w:spacing w:after="120"/>
        <w:ind w:left="567" w:hanging="567"/>
        <w:rPr>
          <w:rFonts w:ascii="Arial" w:hAnsi="Arial" w:cs="Arial"/>
          <w:b/>
          <w:sz w:val="18"/>
          <w:szCs w:val="18"/>
        </w:rPr>
      </w:pPr>
      <w:r>
        <w:rPr>
          <w:rFonts w:ascii="Arial" w:hAnsi="Arial" w:cs="Arial"/>
          <w:b/>
          <w:sz w:val="18"/>
          <w:szCs w:val="18"/>
        </w:rPr>
        <w:t>Neni 6</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Fillimi dhe Përfundimi i shërbimeve</w:t>
      </w:r>
    </w:p>
    <w:p w14:paraId="30C6A22F">
      <w:pPr>
        <w:tabs>
          <w:tab w:val="left" w:pos="993"/>
        </w:tabs>
        <w:spacing w:after="120"/>
        <w:rPr>
          <w:rFonts w:ascii="Arial" w:hAnsi="Arial" w:cs="Arial"/>
          <w:sz w:val="18"/>
          <w:szCs w:val="18"/>
        </w:rPr>
      </w:pPr>
      <w:r>
        <w:rPr>
          <w:rFonts w:ascii="Arial" w:hAnsi="Arial" w:cs="Arial"/>
          <w:sz w:val="18"/>
          <w:szCs w:val="18"/>
        </w:rPr>
        <w:t>6.1 Kjo kontratë hyn në fuqi në datën e nënshkrimit të kontratës nga të dy palët ose ne një date tjetër të mëvonshme siç mund të ceket në KVK.</w:t>
      </w:r>
    </w:p>
    <w:p w14:paraId="4F48B7B8">
      <w:pPr>
        <w:tabs>
          <w:tab w:val="left" w:pos="993"/>
        </w:tabs>
        <w:spacing w:after="120"/>
        <w:rPr>
          <w:rFonts w:ascii="Arial" w:hAnsi="Arial" w:cs="Arial"/>
          <w:sz w:val="18"/>
          <w:szCs w:val="18"/>
        </w:rPr>
      </w:pPr>
      <w:r>
        <w:rPr>
          <w:rFonts w:ascii="Arial" w:hAnsi="Arial" w:cs="Arial"/>
          <w:sz w:val="18"/>
          <w:szCs w:val="18"/>
        </w:rPr>
        <w:t>6.2 Para fillimit të Shërbimeve, Ofruesi i Shërbimeve do të dorëzoj Autoritetit Kontraktues për miratim një Program që tregon metodat, aranzhimet, rendin dhe kohën për të gjitha aktivitetet. Shërbimet do të kryhen në pajtim me programin e miratuar.</w:t>
      </w:r>
    </w:p>
    <w:p w14:paraId="33BCF519">
      <w:pPr>
        <w:tabs>
          <w:tab w:val="left" w:pos="993"/>
        </w:tabs>
        <w:spacing w:after="120"/>
        <w:rPr>
          <w:rFonts w:ascii="Arial" w:hAnsi="Arial" w:cs="Arial"/>
          <w:sz w:val="18"/>
          <w:szCs w:val="18"/>
        </w:rPr>
      </w:pPr>
      <w:r>
        <w:rPr>
          <w:rFonts w:ascii="Arial" w:hAnsi="Arial" w:cs="Arial"/>
          <w:sz w:val="18"/>
          <w:szCs w:val="18"/>
        </w:rPr>
        <w:t>6.3 Ofruesi i Shërbimeve do të filloj shërbimet sa më shpejt që është arsyeshëm e mundur pas marrjes së urdhrit me ekspeditën e duhur dhe pa vonesë.</w:t>
      </w:r>
    </w:p>
    <w:p w14:paraId="73137F18">
      <w:pPr>
        <w:tabs>
          <w:tab w:val="left" w:pos="993"/>
        </w:tabs>
        <w:spacing w:after="120"/>
        <w:rPr>
          <w:rFonts w:ascii="Arial" w:hAnsi="Arial" w:cs="Arial"/>
          <w:sz w:val="18"/>
          <w:szCs w:val="18"/>
        </w:rPr>
      </w:pPr>
      <w:r>
        <w:rPr>
          <w:rFonts w:ascii="Arial" w:hAnsi="Arial" w:cs="Arial"/>
          <w:sz w:val="18"/>
          <w:szCs w:val="18"/>
        </w:rPr>
        <w:t>6.4 Ofruesi i Shërbimeve do të përfundoj aktivitetet në datën e planifikuar të përfundimit, siç është e specifikuar në KVK. Nëse Ofruesi i Shërbimeve nuk i përfundon aktivitetet në datën e planifikuar të përfundimit, ai do të jetë përgjegjës për të paguar dëmet e likuiduara. Në këtë rast, Data e Përfundimit do të jetë data e përfundimit te të gjitha aktiviteteve.</w:t>
      </w:r>
    </w:p>
    <w:p w14:paraId="4DFFB2B4">
      <w:pPr>
        <w:tabs>
          <w:tab w:val="left" w:pos="993"/>
        </w:tabs>
        <w:spacing w:after="120"/>
        <w:ind w:left="567" w:right="113" w:hanging="567"/>
        <w:rPr>
          <w:rFonts w:ascii="Arial" w:hAnsi="Arial" w:cs="Arial"/>
          <w:b/>
          <w:sz w:val="18"/>
          <w:szCs w:val="18"/>
        </w:rPr>
      </w:pPr>
      <w:r>
        <w:rPr>
          <w:rFonts w:ascii="Arial" w:hAnsi="Arial" w:cs="Arial"/>
          <w:sz w:val="18"/>
          <w:szCs w:val="18"/>
        </w:rPr>
        <w:t>6.5 Vendi i kryerjes së shërbimeve është i përcaktuar në KVK.</w:t>
      </w:r>
    </w:p>
    <w:p w14:paraId="65778E50">
      <w:pPr>
        <w:widowControl w:val="0"/>
        <w:rPr>
          <w:rFonts w:ascii="Arial" w:hAnsi="Arial" w:cs="Arial"/>
          <w:sz w:val="18"/>
          <w:szCs w:val="18"/>
        </w:rPr>
      </w:pPr>
      <w:r>
        <w:rPr>
          <w:rFonts w:ascii="Arial" w:hAnsi="Arial" w:cs="Arial"/>
          <w:sz w:val="18"/>
          <w:szCs w:val="18"/>
        </w:rPr>
        <w:t>6.6 Përveç nëse palët pajtohen që të bëhet ndryshe, ekzekutimi i kontratës do të fillojë jo më vonë se 90 ditë pas njoftimit të dhënies së kontratës. Pas kësaj date Ofruesi i Shërbimeve do të ketë të drejtë të mos e ekzekutojë kontratën dhe ta marrë ndërprerjen e saj ose kompensimin për dëmin që i është shkaktuar. Ofruesit të Shërbimeve do t’i merret kjo e drejtë, përveç nëse e ushtron brenda 30 ditësh pas skadimit të periudhës 90-ditore.</w:t>
      </w:r>
    </w:p>
    <w:p w14:paraId="369B749F">
      <w:pPr>
        <w:widowControl w:val="0"/>
        <w:spacing w:after="120"/>
        <w:rPr>
          <w:rFonts w:ascii="Arial" w:hAnsi="Arial" w:cs="Arial"/>
          <w:b/>
          <w:sz w:val="18"/>
          <w:szCs w:val="18"/>
        </w:rPr>
      </w:pPr>
      <w:r>
        <w:rPr>
          <w:rFonts w:ascii="Arial" w:hAnsi="Arial" w:cs="Arial"/>
          <w:b/>
          <w:sz w:val="18"/>
          <w:szCs w:val="18"/>
        </w:rPr>
        <w:t>Neni 7</w:t>
      </w:r>
      <w:r>
        <w:rPr>
          <w:rFonts w:ascii="Arial" w:hAnsi="Arial" w:cs="Arial"/>
          <w:b/>
          <w:sz w:val="18"/>
          <w:szCs w:val="18"/>
        </w:rPr>
        <w:tab/>
      </w:r>
      <w:r>
        <w:rPr>
          <w:rFonts w:ascii="Arial" w:hAnsi="Arial" w:cs="Arial"/>
          <w:b/>
          <w:sz w:val="18"/>
          <w:szCs w:val="18"/>
        </w:rPr>
        <w:tab/>
      </w:r>
      <w:r>
        <w:rPr>
          <w:rFonts w:ascii="Arial" w:hAnsi="Arial" w:cs="Arial"/>
          <w:b/>
          <w:sz w:val="18"/>
          <w:szCs w:val="18"/>
        </w:rPr>
        <w:t>Zgjatja e periudhës së përfundimit</w:t>
      </w:r>
    </w:p>
    <w:p w14:paraId="04D5BE46">
      <w:pPr>
        <w:widowControl w:val="0"/>
        <w:spacing w:after="120"/>
        <w:ind w:right="113"/>
        <w:rPr>
          <w:rFonts w:ascii="Arial" w:hAnsi="Arial" w:cs="Arial"/>
          <w:sz w:val="18"/>
          <w:szCs w:val="18"/>
        </w:rPr>
      </w:pPr>
      <w:r>
        <w:rPr>
          <w:rFonts w:ascii="Arial" w:hAnsi="Arial" w:cs="Arial"/>
          <w:sz w:val="18"/>
          <w:szCs w:val="18"/>
        </w:rPr>
        <w:t>7.1 Ofruesi i Shërbimeve mund të kërkojë zgjatje të periudhës së ekzekutimit nëse realizimi i kontratës së tij vonohet, ose pritet se do të vonohet, për ndonjërën nga këto arsye:</w:t>
      </w:r>
    </w:p>
    <w:p w14:paraId="16F133FC">
      <w:pPr>
        <w:widowControl w:val="0"/>
        <w:tabs>
          <w:tab w:val="left" w:pos="567"/>
        </w:tabs>
        <w:spacing w:after="120"/>
        <w:ind w:right="11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 Autoriteti kontraktues ka dështuar t’i plotësojë obligimet e veta sipas kontratës;</w:t>
      </w:r>
    </w:p>
    <w:p w14:paraId="3E6418FF">
      <w:pPr>
        <w:widowControl w:val="0"/>
        <w:tabs>
          <w:tab w:val="left" w:pos="567"/>
        </w:tabs>
        <w:spacing w:after="120"/>
        <w:ind w:left="567" w:right="113"/>
        <w:rPr>
          <w:rFonts w:ascii="Arial" w:hAnsi="Arial" w:cs="Arial"/>
          <w:sz w:val="18"/>
          <w:szCs w:val="18"/>
        </w:rPr>
      </w:pPr>
      <w:r>
        <w:rPr>
          <w:rFonts w:ascii="Arial" w:hAnsi="Arial" w:cs="Arial"/>
          <w:sz w:val="18"/>
          <w:szCs w:val="18"/>
        </w:rPr>
        <w:tab/>
      </w:r>
      <w:r>
        <w:rPr>
          <w:rFonts w:ascii="Arial" w:hAnsi="Arial" w:cs="Arial"/>
          <w:sz w:val="18"/>
          <w:szCs w:val="18"/>
        </w:rPr>
        <w:t>b) forca madhore siç është e definuar në Nenin 8;</w:t>
      </w:r>
      <w:r>
        <w:rPr>
          <w:rFonts w:ascii="Arial" w:hAnsi="Arial" w:cs="Arial"/>
          <w:sz w:val="18"/>
          <w:szCs w:val="18"/>
        </w:rPr>
        <w:tab/>
      </w:r>
      <w:r>
        <w:rPr>
          <w:rFonts w:ascii="Arial" w:hAnsi="Arial" w:cs="Arial"/>
          <w:sz w:val="18"/>
          <w:szCs w:val="18"/>
        </w:rPr>
        <w:tab/>
      </w:r>
    </w:p>
    <w:p w14:paraId="211FCF4C">
      <w:pPr>
        <w:textAlignment w:val="top"/>
        <w:rPr>
          <w:rFonts w:ascii="Arial" w:hAnsi="Arial" w:cs="Arial"/>
          <w:color w:val="888888"/>
          <w:sz w:val="14"/>
          <w:szCs w:val="14"/>
          <w:lang w:eastAsia="en-US"/>
        </w:rPr>
      </w:pPr>
      <w:r>
        <w:rPr>
          <w:rFonts w:ascii="Arial" w:hAnsi="Arial" w:cs="Arial"/>
          <w:sz w:val="18"/>
          <w:szCs w:val="18"/>
        </w:rPr>
        <w:t xml:space="preserve">7.2 Brenda 15 ditëve me të kuptuar se një vonesë mund të ndodhë, Ofruesi i Shërbimeve do të njoftoj Autoritetin Kontraktues mbi qëllimin e tij që të bëj një kërkesë për zgjatjen e periudhës së realizimit për të cilën ai konsideron se ka të drejtë dhe, </w:t>
      </w:r>
      <w:r>
        <w:rPr>
          <w:rFonts w:ascii="Arial" w:hAnsi="Arial" w:cs="Arial"/>
          <w:color w:val="000000"/>
          <w:sz w:val="18"/>
          <w:szCs w:val="18"/>
          <w:lang w:eastAsia="en-US"/>
        </w:rPr>
        <w:t>përveçse kur është rënë dakord ndryshe ndërmjet ofruesit të shërbimeve dhe Autoritetit Kontraktues, brenda 30 ditëve nga e njëjta pikë në kohë të sigurojë Autoritetin Kontraktues me hollësi të plotë në mënyrë që të mund të shqyrtohet kërkesa.</w:t>
      </w:r>
    </w:p>
    <w:p w14:paraId="5C605639">
      <w:pPr>
        <w:textAlignment w:val="top"/>
        <w:rPr>
          <w:rFonts w:ascii="Arial" w:hAnsi="Arial" w:cs="Arial"/>
          <w:color w:val="888888"/>
          <w:sz w:val="18"/>
          <w:szCs w:val="18"/>
          <w:lang w:eastAsia="en-US"/>
        </w:rPr>
      </w:pPr>
      <w:r>
        <w:rPr>
          <w:rFonts w:ascii="Arial" w:hAnsi="Arial" w:cs="Arial"/>
          <w:sz w:val="18"/>
          <w:szCs w:val="18"/>
        </w:rPr>
        <w:t xml:space="preserve">7.3 </w:t>
      </w:r>
      <w:r>
        <w:rPr>
          <w:rFonts w:ascii="Arial" w:hAnsi="Arial" w:cs="Arial"/>
          <w:color w:val="000000"/>
          <w:sz w:val="18"/>
          <w:szCs w:val="18"/>
          <w:lang w:eastAsia="en-US"/>
        </w:rPr>
        <w:t>Brenda 30 ditëve nga marrja e hollësive të përmendura në 7.2, Autoriteti Kontraktues me anë të njoftimit me shkrim do t’i lejoj Ofruesit të Shërbimeve zgjatjen e periudhës së ekzekutimit siç mund të arsyetohet, ose në mënyrë prospektive dhe retrospektive, ose të informoj Ofruesin e Shërbimeve që ai nuk ka të drejtë në zgjatje.</w:t>
      </w:r>
    </w:p>
    <w:p w14:paraId="76D8AAB6">
      <w:pPr>
        <w:widowControl w:val="0"/>
        <w:spacing w:after="120"/>
        <w:rPr>
          <w:rFonts w:ascii="Arial" w:hAnsi="Arial" w:cs="Arial"/>
          <w:sz w:val="18"/>
          <w:szCs w:val="18"/>
        </w:rPr>
      </w:pPr>
      <w:r>
        <w:rPr>
          <w:rFonts w:ascii="Arial" w:hAnsi="Arial" w:cs="Arial"/>
          <w:b/>
          <w:sz w:val="18"/>
          <w:szCs w:val="18"/>
        </w:rPr>
        <w:t>Neni 8</w:t>
      </w:r>
      <w:r>
        <w:rPr>
          <w:rFonts w:ascii="Arial" w:hAnsi="Arial" w:cs="Arial"/>
          <w:b/>
          <w:sz w:val="18"/>
          <w:szCs w:val="18"/>
        </w:rPr>
        <w:tab/>
      </w:r>
      <w:r>
        <w:rPr>
          <w:rFonts w:ascii="Arial" w:hAnsi="Arial" w:cs="Arial"/>
          <w:b/>
          <w:sz w:val="18"/>
          <w:szCs w:val="18"/>
        </w:rPr>
        <w:tab/>
      </w:r>
      <w:r>
        <w:rPr>
          <w:rFonts w:ascii="Arial" w:hAnsi="Arial" w:cs="Arial"/>
          <w:b/>
          <w:sz w:val="18"/>
          <w:szCs w:val="18"/>
        </w:rPr>
        <w:t xml:space="preserve">Forca madhore </w:t>
      </w:r>
    </w:p>
    <w:p w14:paraId="7119F86F">
      <w:pPr>
        <w:autoSpaceDE w:val="0"/>
        <w:autoSpaceDN w:val="0"/>
        <w:adjustRightInd w:val="0"/>
        <w:rPr>
          <w:rFonts w:ascii="Arial" w:hAnsi="Arial" w:cs="Arial"/>
          <w:sz w:val="18"/>
          <w:szCs w:val="18"/>
        </w:rPr>
      </w:pPr>
      <w:r>
        <w:rPr>
          <w:rFonts w:ascii="Arial" w:hAnsi="Arial" w:cs="Arial"/>
          <w:sz w:val="18"/>
          <w:szCs w:val="18"/>
        </w:rPr>
        <w:t>8.1. Asnjëra palë nuk konsiderohet se ka bërë shkelje të obligimeve të saj sipas kontratës nëse realizimi i obligimeve të tilla parandalohet nga ndonjë ngjarje e shkaktuar nga një forcë</w:t>
      </w:r>
      <w:r>
        <w:rPr>
          <w:rFonts w:ascii="Arial" w:hAnsi="Arial" w:cs="Arial"/>
          <w:i/>
          <w:sz w:val="18"/>
          <w:szCs w:val="18"/>
        </w:rPr>
        <w:t xml:space="preserve"> madhore</w:t>
      </w:r>
      <w:r>
        <w:rPr>
          <w:rFonts w:ascii="Arial" w:hAnsi="Arial" w:cs="Arial"/>
          <w:sz w:val="18"/>
          <w:szCs w:val="18"/>
        </w:rPr>
        <w:t xml:space="preserve"> që shkaktohet pas datës së njoftimit mbi dhënie të kontratës ose kur kontrata hyn në fuqi.</w:t>
      </w:r>
    </w:p>
    <w:p w14:paraId="0C5C9EF5">
      <w:pPr>
        <w:autoSpaceDE w:val="0"/>
        <w:autoSpaceDN w:val="0"/>
        <w:adjustRightInd w:val="0"/>
        <w:rPr>
          <w:rFonts w:ascii="Arial" w:hAnsi="Arial" w:cs="Arial"/>
          <w:sz w:val="18"/>
          <w:szCs w:val="18"/>
        </w:rPr>
      </w:pPr>
      <w:r>
        <w:rPr>
          <w:rFonts w:ascii="Arial" w:hAnsi="Arial" w:cs="Arial"/>
          <w:sz w:val="18"/>
          <w:szCs w:val="18"/>
        </w:rPr>
        <w:t>8.2. Termi "forcë madhore" do të thotë veprimet e zotit, goditjet, mbylljet e objektit ose çrregullimet tjera industriale, veprimet e armikut publik, luftërat qofshin të deklaruara ose jo, bllokadat, rebelimet, rastet e dhunës, epidemitë, rrëshqitjet e tokës, tërmetet, shtrëngatat, vetëtima, vërshimet, erozionet, trazirat civile, eksplodimet dhe ndonjë ngjarje tjetër e ngjashme e paparashikuar që është përtej kontrollit të palëve dhe nuk mund të përballohet as me kujdesin e duhur.</w:t>
      </w:r>
    </w:p>
    <w:p w14:paraId="584ACE61">
      <w:pPr>
        <w:autoSpaceDE w:val="0"/>
        <w:autoSpaceDN w:val="0"/>
        <w:adjustRightInd w:val="0"/>
        <w:rPr>
          <w:rFonts w:ascii="Arial" w:hAnsi="Arial" w:cs="Arial"/>
          <w:sz w:val="18"/>
          <w:szCs w:val="18"/>
        </w:rPr>
      </w:pPr>
      <w:r>
        <w:rPr>
          <w:rFonts w:ascii="Arial" w:hAnsi="Arial" w:cs="Arial"/>
          <w:sz w:val="18"/>
          <w:szCs w:val="18"/>
        </w:rPr>
        <w:t>8.3. Pala e ndikuar nga një ngjarje e forcës madhore do të marr të gjitha masat e arsyeshme për të mënjanuar paaftësinë e një pale të tillë që të përmbush detyrimet e saj tani e tutje me një vonesë minimale.</w:t>
      </w:r>
    </w:p>
    <w:p w14:paraId="48DC53FA">
      <w:pPr>
        <w:autoSpaceDE w:val="0"/>
        <w:autoSpaceDN w:val="0"/>
        <w:adjustRightInd w:val="0"/>
        <w:rPr>
          <w:rFonts w:ascii="Arial" w:hAnsi="Arial" w:cs="Arial"/>
          <w:sz w:val="18"/>
          <w:szCs w:val="18"/>
        </w:rPr>
      </w:pPr>
      <w:r>
        <w:rPr>
          <w:rFonts w:ascii="Arial" w:hAnsi="Arial" w:cs="Arial"/>
          <w:sz w:val="18"/>
          <w:szCs w:val="18"/>
        </w:rPr>
        <w:t>8.4. Ofruesi i Shërbimeve nuk do të jetë përgjegjës për dëmet e likuiduara ose ndërprerje nëse vonesa e tij në realizimin ose dështimi për të realizuar obligimet e tij me kontratë është rezultat i një ngjarjeje të forcës madhore. Autoriteti kontraktues nuk do të jetë i detyruar të paguajë interes për pagesat e vonuara, për mosrealizim ose për ndërprerje nëse vonesa e Autoritetit kontraktues ose lloj tjetër i dështimit për të kryer obligimet e tij është rezultat i forcës madhore.</w:t>
      </w:r>
    </w:p>
    <w:p w14:paraId="478E7782">
      <w:pPr>
        <w:autoSpaceDE w:val="0"/>
        <w:autoSpaceDN w:val="0"/>
        <w:adjustRightInd w:val="0"/>
        <w:rPr>
          <w:rFonts w:ascii="Arial" w:hAnsi="Arial" w:cs="Arial"/>
          <w:sz w:val="18"/>
          <w:szCs w:val="18"/>
        </w:rPr>
      </w:pPr>
      <w:r>
        <w:rPr>
          <w:rFonts w:ascii="Arial" w:hAnsi="Arial" w:cs="Arial"/>
          <w:sz w:val="18"/>
          <w:szCs w:val="18"/>
        </w:rPr>
        <w:t>8.5. Nëse ndonjëra palë konsideron se ndonjë rrethanë e forcës madhore ka ndodhur e cila mund të ndikojë në realizimin e obligimeve të saj, menjëherë do ta lajmërojë palën tjetër, duke dhënë të dhëna detaje mbi natyrën, kohëzgjatjen e mundshme dhe efektin që kanë gjasa ta kenë rrethanat. Përveç nëse udhëzohet ndryshe nga Menaxheri i Projektit me shkrim, Ofruesi i Shërbimeve do të vazhdojë t’i realizojë obligimet e tij sipas kontratës përderisa është mjaft praktike, dhe të angazhojë të gjitha mjetet e arsyeshme alternative për të plotësuar ndonjë obligim që ngjarja e forcës madhore të mos e pengojë atë gjatë punës. Ofruesi i Shërbimeve nuk do të zbatojë mjete të tilla alternative përveç nëse udhëzohet ta bëjë këtë nga Menaxheri i Projektit.</w:t>
      </w:r>
    </w:p>
    <w:p w14:paraId="3F8BA053">
      <w:pPr>
        <w:spacing w:after="120"/>
        <w:rPr>
          <w:rFonts w:ascii="Arial" w:hAnsi="Arial" w:cs="Arial"/>
          <w:b/>
          <w:sz w:val="18"/>
          <w:szCs w:val="18"/>
        </w:rPr>
      </w:pPr>
      <w:r>
        <w:rPr>
          <w:rFonts w:ascii="Arial" w:hAnsi="Arial" w:cs="Arial"/>
          <w:b/>
          <w:sz w:val="18"/>
          <w:szCs w:val="18"/>
        </w:rPr>
        <w:t xml:space="preserve">Neni 9      </w:t>
      </w:r>
      <w:r>
        <w:rPr>
          <w:rFonts w:ascii="Arial" w:hAnsi="Arial" w:cs="Arial"/>
          <w:b/>
          <w:sz w:val="18"/>
          <w:szCs w:val="18"/>
        </w:rPr>
        <w:tab/>
      </w:r>
      <w:r>
        <w:rPr>
          <w:rFonts w:ascii="Arial" w:hAnsi="Arial" w:cs="Arial"/>
          <w:b/>
          <w:sz w:val="18"/>
          <w:szCs w:val="18"/>
        </w:rPr>
        <w:t xml:space="preserve">Ndërprerja e Kontratës nga Autoriteti kontraktues </w:t>
      </w:r>
    </w:p>
    <w:p w14:paraId="6A9271C8">
      <w:pPr>
        <w:widowControl w:val="0"/>
        <w:spacing w:before="120" w:after="120"/>
        <w:rPr>
          <w:rFonts w:ascii="Arial" w:hAnsi="Arial" w:cs="Arial"/>
          <w:sz w:val="18"/>
          <w:szCs w:val="18"/>
        </w:rPr>
      </w:pPr>
      <w:r>
        <w:rPr>
          <w:rFonts w:ascii="Arial" w:hAnsi="Arial" w:cs="Arial"/>
          <w:sz w:val="18"/>
          <w:szCs w:val="18"/>
        </w:rPr>
        <w:t>9.1 Autoriteti kontraktues mundet që, pasi t’i japë Ofruesit të Shërbimeve 14 ditë paralajmërim, ta ndërpresë kontratën në ndonjërin nga rastet e mëposhtme:</w:t>
      </w:r>
    </w:p>
    <w:p w14:paraId="0F23F980">
      <w:pPr>
        <w:autoSpaceDE w:val="0"/>
        <w:autoSpaceDN w:val="0"/>
        <w:adjustRightInd w:val="0"/>
        <w:ind w:left="284"/>
        <w:rPr>
          <w:rFonts w:ascii="Arial" w:hAnsi="Arial" w:cs="Arial"/>
          <w:sz w:val="18"/>
          <w:szCs w:val="18"/>
        </w:rPr>
      </w:pPr>
      <w:r>
        <w:rPr>
          <w:rFonts w:ascii="Arial" w:hAnsi="Arial" w:cs="Arial"/>
          <w:color w:val="000000"/>
          <w:sz w:val="18"/>
          <w:szCs w:val="18"/>
        </w:rPr>
        <w:t xml:space="preserve">(a) </w:t>
      </w:r>
      <w:r>
        <w:rPr>
          <w:rFonts w:ascii="Arial" w:hAnsi="Arial" w:cs="Arial"/>
          <w:sz w:val="18"/>
          <w:szCs w:val="18"/>
        </w:rPr>
        <w:t>Ofruesi i Shërbimeve dështon në përmbushjen brenda një afati të arsyeshëm të paralajmërimit të dhënë nga autoriteti kontraktues që kërkon nga ai të evitojë ndonjë neglizhencë apo dështim për të realizuar obligimet e veta sipas kontratës, dhe të cilat ndikojnë në mënyrë serioze në realizimin e duhur dhe me kohë të shërbimeve</w:t>
      </w:r>
      <w:r>
        <w:rPr>
          <w:rFonts w:ascii="Arial" w:hAnsi="Arial" w:cs="Arial"/>
          <w:color w:val="000000"/>
          <w:sz w:val="18"/>
          <w:szCs w:val="18"/>
        </w:rPr>
        <w:t>;</w:t>
      </w:r>
    </w:p>
    <w:p w14:paraId="72274FEE">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(b) </w:t>
      </w:r>
      <w:r>
        <w:rPr>
          <w:rFonts w:ascii="Arial" w:hAnsi="Arial" w:cs="Arial"/>
          <w:sz w:val="18"/>
          <w:szCs w:val="18"/>
        </w:rPr>
        <w:t>Ofruesi i Shërbimeve refuzon ose është neglizhent në realizimin e urdhrave administrative të dhëna nga autoriteti kontraktues</w:t>
      </w:r>
      <w:r>
        <w:rPr>
          <w:rFonts w:ascii="Arial" w:hAnsi="Arial" w:cs="Arial"/>
          <w:color w:val="000000"/>
          <w:sz w:val="18"/>
          <w:szCs w:val="18"/>
        </w:rPr>
        <w:t>;</w:t>
      </w:r>
    </w:p>
    <w:p w14:paraId="693252A6">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(c) </w:t>
      </w:r>
      <w:r>
        <w:rPr>
          <w:rFonts w:ascii="Arial" w:hAnsi="Arial" w:cs="Arial"/>
          <w:sz w:val="18"/>
          <w:szCs w:val="18"/>
        </w:rPr>
        <w:t>Ofruesi i Shërbimeve ia jep dikujt kontratën apo nënkontratën pa autorizim nga Autoriteti kontraktues</w:t>
      </w:r>
      <w:r>
        <w:rPr>
          <w:rFonts w:ascii="Arial" w:hAnsi="Arial" w:cs="Arial"/>
          <w:color w:val="000000"/>
          <w:sz w:val="18"/>
          <w:szCs w:val="18"/>
        </w:rPr>
        <w:t>;</w:t>
      </w:r>
    </w:p>
    <w:p w14:paraId="4A998771">
      <w:pPr>
        <w:autoSpaceDE w:val="0"/>
        <w:autoSpaceDN w:val="0"/>
        <w:adjustRightInd w:val="0"/>
        <w:ind w:left="284"/>
        <w:rPr>
          <w:rFonts w:ascii="Arial" w:hAnsi="Arial" w:cs="Arial"/>
          <w:sz w:val="18"/>
          <w:szCs w:val="18"/>
        </w:rPr>
      </w:pPr>
      <w:r>
        <w:rPr>
          <w:rFonts w:ascii="Arial" w:hAnsi="Arial" w:cs="Arial"/>
          <w:color w:val="000000"/>
          <w:sz w:val="18"/>
          <w:szCs w:val="18"/>
        </w:rPr>
        <w:t xml:space="preserve">(d) </w:t>
      </w:r>
      <w:r>
        <w:rPr>
          <w:rFonts w:ascii="Arial" w:hAnsi="Arial" w:cs="Arial"/>
          <w:sz w:val="18"/>
          <w:szCs w:val="18"/>
        </w:rPr>
        <w:t>Ofruesi i Shërbimeve falimenton ose është duke u mbyllur; punët e tij janë duke u administruar nga gjykatat, ka hyrë në marrëveshje me kredituesit, ka pezulluar aktivitetet biznesore, i nënshtrohet procedurave ligjore lidhur me ato çështje, ose është në ndonjë situatë analoge që shkaktohet nga ndonjë procedurë e ngjashme e paraparë në legjislacionin apo në rregulloret nacionale</w:t>
      </w:r>
      <w:r>
        <w:rPr>
          <w:rFonts w:ascii="Arial" w:hAnsi="Arial" w:cs="Arial"/>
          <w:color w:val="000000"/>
          <w:sz w:val="18"/>
          <w:szCs w:val="18"/>
        </w:rPr>
        <w:t>;</w:t>
      </w:r>
    </w:p>
    <w:p w14:paraId="7EEDCB6B">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(e) </w:t>
      </w:r>
      <w:r>
        <w:rPr>
          <w:rFonts w:ascii="Arial" w:hAnsi="Arial" w:cs="Arial"/>
          <w:sz w:val="18"/>
          <w:szCs w:val="18"/>
        </w:rPr>
        <w:t xml:space="preserve">Ofruesi i Shërbimeve është dënuar për një shkelje që ka të bëjë me sjelljen profesionale, përmes një gjykimi që ka fuqinë e </w:t>
      </w:r>
      <w:r>
        <w:rPr>
          <w:rFonts w:ascii="Arial" w:hAnsi="Arial" w:cs="Arial"/>
          <w:i/>
          <w:sz w:val="18"/>
          <w:szCs w:val="18"/>
        </w:rPr>
        <w:t>res judicata</w:t>
      </w:r>
      <w:r>
        <w:rPr>
          <w:rFonts w:ascii="Arial" w:hAnsi="Arial" w:cs="Arial"/>
          <w:color w:val="000000"/>
          <w:sz w:val="18"/>
          <w:szCs w:val="18"/>
        </w:rPr>
        <w:t>;</w:t>
      </w:r>
    </w:p>
    <w:p w14:paraId="03A1D21E">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(f) </w:t>
      </w:r>
      <w:r>
        <w:rPr>
          <w:rFonts w:ascii="Arial" w:hAnsi="Arial" w:cs="Arial"/>
          <w:sz w:val="18"/>
          <w:szCs w:val="18"/>
        </w:rPr>
        <w:t>Ofruesi i Shërbimeve është shpallur fajtor për sjellje të rëndë të keqe jo profesionale të dëshmuar me çfarëdo mjeti të cilin mund ta vërtetoj Autoriteti kontraktues</w:t>
      </w:r>
      <w:r>
        <w:rPr>
          <w:rFonts w:ascii="Arial" w:hAnsi="Arial" w:cs="Arial"/>
          <w:color w:val="000000"/>
          <w:sz w:val="18"/>
          <w:szCs w:val="18"/>
        </w:rPr>
        <w:t>;</w:t>
      </w:r>
    </w:p>
    <w:p w14:paraId="72068151">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(g) </w:t>
      </w:r>
      <w:r>
        <w:rPr>
          <w:rFonts w:ascii="Arial" w:hAnsi="Arial" w:cs="Arial"/>
          <w:sz w:val="18"/>
          <w:szCs w:val="18"/>
        </w:rPr>
        <w:t xml:space="preserve">Ofruesi i Shërbimeve i është nënshtruar një gjykimi që ka forcën e </w:t>
      </w:r>
      <w:r>
        <w:rPr>
          <w:rFonts w:ascii="Arial" w:hAnsi="Arial" w:cs="Arial"/>
          <w:i/>
          <w:sz w:val="18"/>
          <w:szCs w:val="18"/>
        </w:rPr>
        <w:t>res judicata</w:t>
      </w:r>
      <w:r>
        <w:rPr>
          <w:rFonts w:ascii="Arial" w:hAnsi="Arial" w:cs="Arial"/>
          <w:sz w:val="18"/>
          <w:szCs w:val="18"/>
        </w:rPr>
        <w:t xml:space="preserve"> për mashtrim, korrupsion, përfshirje në ndonjë organizatë kriminale</w:t>
      </w:r>
      <w:r>
        <w:rPr>
          <w:rFonts w:ascii="Arial" w:hAnsi="Arial" w:cs="Arial"/>
          <w:color w:val="000000"/>
          <w:sz w:val="18"/>
          <w:szCs w:val="18"/>
        </w:rPr>
        <w:t xml:space="preserve">; </w:t>
      </w:r>
    </w:p>
    <w:p w14:paraId="7E9BF802">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(h) </w:t>
      </w:r>
      <w:r>
        <w:rPr>
          <w:rFonts w:ascii="Arial" w:hAnsi="Arial" w:cs="Arial"/>
          <w:sz w:val="18"/>
          <w:szCs w:val="18"/>
        </w:rPr>
        <w:t>të gjitha modifikimet organizative që përfshijnë ndryshime në personalitetin ligjor, natyrën ose kontrollin e Ofruesit të Shërbimeve, përveç nëse këto modifikime regjistrohen në suplementin e kontratës</w:t>
      </w:r>
      <w:r>
        <w:rPr>
          <w:rFonts w:ascii="Arial" w:hAnsi="Arial" w:cs="Arial"/>
          <w:color w:val="000000"/>
          <w:sz w:val="18"/>
          <w:szCs w:val="18"/>
        </w:rPr>
        <w:t>;</w:t>
      </w:r>
    </w:p>
    <w:p w14:paraId="40866108">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(i) </w:t>
      </w:r>
      <w:r>
        <w:rPr>
          <w:rFonts w:ascii="Arial" w:hAnsi="Arial" w:cs="Arial"/>
          <w:sz w:val="18"/>
          <w:szCs w:val="18"/>
        </w:rPr>
        <w:t>shfaqet ndonjë paaftësi tjetër ligjore që i pengon realizimit të kontratës</w:t>
      </w:r>
      <w:r>
        <w:rPr>
          <w:rFonts w:ascii="Arial" w:hAnsi="Arial" w:cs="Arial"/>
          <w:color w:val="000000"/>
          <w:sz w:val="18"/>
          <w:szCs w:val="18"/>
        </w:rPr>
        <w:t>;</w:t>
      </w:r>
    </w:p>
    <w:p w14:paraId="7E4556EE">
      <w:pPr>
        <w:autoSpaceDE w:val="0"/>
        <w:autoSpaceDN w:val="0"/>
        <w:adjustRightInd w:val="0"/>
        <w:ind w:left="284"/>
        <w:rPr>
          <w:rFonts w:ascii="Arial" w:hAnsi="Arial" w:cs="Arial"/>
          <w:color w:val="000000"/>
          <w:sz w:val="18"/>
          <w:szCs w:val="18"/>
        </w:rPr>
      </w:pPr>
      <w:r>
        <w:rPr>
          <w:rFonts w:ascii="Arial" w:hAnsi="Arial" w:cs="Arial"/>
          <w:color w:val="000000"/>
          <w:sz w:val="18"/>
          <w:szCs w:val="18"/>
        </w:rPr>
        <w:t xml:space="preserve">(j) </w:t>
      </w:r>
      <w:r>
        <w:rPr>
          <w:rFonts w:ascii="Arial" w:hAnsi="Arial" w:cs="Arial"/>
          <w:sz w:val="18"/>
          <w:szCs w:val="18"/>
        </w:rPr>
        <w:t>Ofruesi i Shërbimeve nuk arrin të japë garancinë ose sigurimin e kërkuar, ose nëse personi që e jep garancinë apo sigurimin më të hershëm të kërkuar në kontratën e tanishme nuk është në gjendje t’i plotësojë zotimet e tij.</w:t>
      </w:r>
    </w:p>
    <w:p w14:paraId="4524DF4C">
      <w:pPr>
        <w:widowControl w:val="0"/>
        <w:spacing w:after="120"/>
        <w:rPr>
          <w:rFonts w:ascii="Arial" w:hAnsi="Arial" w:cs="Arial"/>
          <w:sz w:val="18"/>
          <w:szCs w:val="18"/>
        </w:rPr>
      </w:pPr>
      <w:r>
        <w:rPr>
          <w:rFonts w:ascii="Arial" w:hAnsi="Arial" w:cs="Arial"/>
          <w:color w:val="000000"/>
          <w:sz w:val="18"/>
          <w:szCs w:val="18"/>
        </w:rPr>
        <w:t xml:space="preserve">9.2 </w:t>
      </w:r>
      <w:r>
        <w:rPr>
          <w:rFonts w:ascii="Arial" w:hAnsi="Arial" w:cs="Arial"/>
          <w:sz w:val="18"/>
          <w:szCs w:val="18"/>
        </w:rPr>
        <w:t xml:space="preserve">Ndërprerja do të bëhet pa paragjykim ndaj të drejtave apo mundësive tjera të Autoritetit kontraktues dhe Ofruesit të Shërbimeve sipas kontratës. Autoriteti kontraktues, pas kësaj mund të nënshkruajë ndonjë kontratë tjetër me një palë të tretë në emër të Ofruesit të Shërbimeve.  </w:t>
      </w:r>
    </w:p>
    <w:p w14:paraId="329743BF">
      <w:pPr>
        <w:autoSpaceDE w:val="0"/>
        <w:autoSpaceDN w:val="0"/>
        <w:adjustRightInd w:val="0"/>
        <w:rPr>
          <w:rFonts w:ascii="Arial" w:hAnsi="Arial" w:cs="Arial"/>
          <w:sz w:val="18"/>
          <w:szCs w:val="18"/>
        </w:rPr>
      </w:pPr>
      <w:r>
        <w:rPr>
          <w:rFonts w:ascii="Arial" w:hAnsi="Arial" w:cs="Arial"/>
          <w:color w:val="000000"/>
          <w:sz w:val="18"/>
          <w:szCs w:val="18"/>
        </w:rPr>
        <w:t xml:space="preserve">9.3 </w:t>
      </w:r>
      <w:r>
        <w:rPr>
          <w:rFonts w:ascii="Arial" w:hAnsi="Arial" w:cs="Arial"/>
          <w:sz w:val="18"/>
          <w:szCs w:val="18"/>
        </w:rPr>
        <w:t>Autoriteti Kontraktues, pas lëshimit të njoftimit të ndërprerjes së kontratës, do ta udhëzojë Ofruesin e Shërbimeve që të ndërmarrë hapa të menjëhershëm për ta përmbyllur ekzekutimin e shërbimeve në mënyrë të shpejtë dhe të rregullt dhe për t’i zvogëluar në minimum shpenzimet</w:t>
      </w:r>
      <w:r>
        <w:rPr>
          <w:rFonts w:ascii="Arial" w:hAnsi="Arial" w:cs="Arial"/>
          <w:color w:val="000000"/>
          <w:sz w:val="18"/>
          <w:szCs w:val="18"/>
        </w:rPr>
        <w:t>.</w:t>
      </w:r>
    </w:p>
    <w:p w14:paraId="700EC7C2">
      <w:pPr>
        <w:widowControl w:val="0"/>
        <w:spacing w:after="120"/>
        <w:rPr>
          <w:rFonts w:ascii="Arial" w:hAnsi="Arial" w:cs="Arial"/>
          <w:sz w:val="18"/>
          <w:szCs w:val="18"/>
        </w:rPr>
      </w:pPr>
      <w:r>
        <w:rPr>
          <w:rFonts w:ascii="Arial" w:hAnsi="Arial" w:cs="Arial"/>
          <w:sz w:val="18"/>
          <w:szCs w:val="18"/>
        </w:rPr>
        <w:t>9.4 Në rast të ndërprerjes, autoriteti kontraktues, sa më shpejt që të jetë e mundur dhe në prani të Ofruesit të Shërbimeve ose të përfaqësuesve të tij ose duke u bërë atyre thirrjen e duhur, do ta përgatisë një raport mbi shërbimet e kryera. Do të përgatitet edhe një deklaratë e parave që duhet t’i paguhen Ofruesit të Shërbimeve dhe parave që i ka borxh Ofruesi i Shërbimeve Autoritetit kontraktues në datën e ndërprerjes së kontratës.</w:t>
      </w:r>
    </w:p>
    <w:p w14:paraId="0212415C">
      <w:pPr>
        <w:widowControl w:val="0"/>
        <w:spacing w:after="120"/>
        <w:rPr>
          <w:rFonts w:ascii="Arial" w:hAnsi="Arial" w:cs="Arial"/>
          <w:sz w:val="18"/>
          <w:szCs w:val="18"/>
        </w:rPr>
      </w:pPr>
      <w:r>
        <w:rPr>
          <w:rFonts w:ascii="Arial" w:hAnsi="Arial" w:cs="Arial"/>
          <w:sz w:val="18"/>
          <w:szCs w:val="18"/>
        </w:rPr>
        <w:t>9.5 Autoriteti kontraktues nuk do të jetë i obliguar të bëjë pagesa tjera për Ofruesin e Shërbimeve derisa të jenë përfunduar shërbimet, ndërsa Autoriteti kontraktues do të ketë të drejtë të marrë nga Ofruesi i Shërbimeve koston ekstra, nëse ka, për të siguruar ofruesin e shërbimeve ose do të paguajë shumën që duhet t’i paguhet Ofruesit të Shërbimeve para ndërprerjes së kontratës.</w:t>
      </w:r>
    </w:p>
    <w:p w14:paraId="11621ED9">
      <w:pPr>
        <w:widowControl w:val="0"/>
        <w:spacing w:after="120"/>
        <w:rPr>
          <w:rFonts w:ascii="Arial" w:hAnsi="Arial" w:cs="Arial"/>
          <w:sz w:val="18"/>
          <w:szCs w:val="18"/>
        </w:rPr>
      </w:pPr>
      <w:r>
        <w:rPr>
          <w:rFonts w:ascii="Arial" w:hAnsi="Arial" w:cs="Arial"/>
          <w:sz w:val="18"/>
          <w:szCs w:val="18"/>
        </w:rPr>
        <w:t>9.6 Nëse Autoriteti kontraktues e ndërpret kontratën, ai do të ketë të drejtë të marrë nga Ofruesi i Shërbimeve humbjet që i janë shkaktuar nën kushtet e kontratës.</w:t>
      </w:r>
    </w:p>
    <w:p w14:paraId="7C4615B1">
      <w:pPr>
        <w:widowControl w:val="0"/>
        <w:spacing w:after="120"/>
        <w:ind w:right="113"/>
        <w:rPr>
          <w:rFonts w:ascii="Arial" w:hAnsi="Arial" w:cs="Arial"/>
          <w:b/>
          <w:sz w:val="18"/>
          <w:szCs w:val="18"/>
        </w:rPr>
      </w:pPr>
    </w:p>
    <w:p w14:paraId="27BB1440">
      <w:pPr>
        <w:widowControl w:val="0"/>
        <w:spacing w:after="120"/>
        <w:ind w:right="113"/>
        <w:rPr>
          <w:rFonts w:ascii="Arial" w:hAnsi="Arial" w:cs="Arial"/>
          <w:b/>
          <w:sz w:val="18"/>
          <w:szCs w:val="18"/>
        </w:rPr>
      </w:pPr>
      <w:r>
        <w:rPr>
          <w:rFonts w:ascii="Arial" w:hAnsi="Arial" w:cs="Arial"/>
          <w:b/>
          <w:sz w:val="18"/>
          <w:szCs w:val="18"/>
        </w:rPr>
        <w:t>Neni 10</w:t>
      </w:r>
      <w:r>
        <w:rPr>
          <w:rFonts w:ascii="Arial" w:hAnsi="Arial" w:cs="Arial"/>
          <w:b/>
          <w:sz w:val="18"/>
          <w:szCs w:val="18"/>
        </w:rPr>
        <w:tab/>
      </w:r>
      <w:r>
        <w:rPr>
          <w:rFonts w:ascii="Arial" w:hAnsi="Arial" w:cs="Arial"/>
          <w:b/>
          <w:sz w:val="18"/>
          <w:szCs w:val="18"/>
        </w:rPr>
        <w:tab/>
      </w:r>
      <w:r>
        <w:rPr>
          <w:rFonts w:ascii="Arial" w:hAnsi="Arial" w:cs="Arial"/>
          <w:b/>
          <w:sz w:val="18"/>
          <w:szCs w:val="18"/>
        </w:rPr>
        <w:t>Ndërprerja nga ana e Ofruesit të Shërbimeve</w:t>
      </w:r>
    </w:p>
    <w:p w14:paraId="4F0492EC">
      <w:pPr>
        <w:autoSpaceDE w:val="0"/>
        <w:autoSpaceDN w:val="0"/>
        <w:adjustRightInd w:val="0"/>
        <w:ind w:right="113"/>
        <w:rPr>
          <w:rFonts w:ascii="Arial" w:hAnsi="Arial" w:cs="Arial"/>
          <w:sz w:val="18"/>
          <w:szCs w:val="18"/>
        </w:rPr>
      </w:pPr>
      <w:r>
        <w:rPr>
          <w:rFonts w:ascii="Arial" w:hAnsi="Arial" w:cs="Arial"/>
          <w:sz w:val="18"/>
          <w:szCs w:val="18"/>
        </w:rPr>
        <w:t>10.1 Ofruesi i Shërbimeve, pasi e ka paralajmëruar Autoritetin kontraktues 14 ditë paraprakisht, mund ta ndërpresë kontratën nëse Autoriteti kontraktues;</w:t>
      </w:r>
    </w:p>
    <w:p w14:paraId="7D853FFF">
      <w:pPr>
        <w:autoSpaceDE w:val="0"/>
        <w:autoSpaceDN w:val="0"/>
        <w:adjustRightInd w:val="0"/>
        <w:ind w:left="284" w:right="113"/>
        <w:rPr>
          <w:rFonts w:ascii="Arial" w:hAnsi="Arial" w:cs="Arial"/>
          <w:sz w:val="18"/>
          <w:szCs w:val="18"/>
        </w:rPr>
      </w:pPr>
      <w:r>
        <w:rPr>
          <w:rFonts w:ascii="Arial" w:hAnsi="Arial" w:cs="Arial"/>
          <w:sz w:val="18"/>
          <w:szCs w:val="18"/>
        </w:rPr>
        <w:t>a. nuk arrin t’i paguajë Ofruesit të Shërbimeve shumat që duhet të paguhen në ndonjë certifikatë të lëshuar nga personi i autorizuar pas skadimit të afatit të fundit;</w:t>
      </w:r>
    </w:p>
    <w:p w14:paraId="7BF518C9">
      <w:pPr>
        <w:autoSpaceDE w:val="0"/>
        <w:autoSpaceDN w:val="0"/>
        <w:adjustRightInd w:val="0"/>
        <w:ind w:left="284" w:right="113"/>
        <w:rPr>
          <w:rFonts w:ascii="Arial" w:hAnsi="Arial" w:cs="Arial"/>
          <w:sz w:val="18"/>
          <w:szCs w:val="18"/>
        </w:rPr>
      </w:pPr>
      <w:r>
        <w:rPr>
          <w:rFonts w:ascii="Arial" w:hAnsi="Arial" w:cs="Arial"/>
          <w:sz w:val="18"/>
          <w:szCs w:val="18"/>
        </w:rPr>
        <w:t xml:space="preserve">b. vazhdimisht nuk arrin t’i plotësojë obligimet e veta edhe pas rikujtimeve të përsëritura; ose </w:t>
      </w:r>
    </w:p>
    <w:p w14:paraId="04C4E0AB">
      <w:pPr>
        <w:autoSpaceDE w:val="0"/>
        <w:autoSpaceDN w:val="0"/>
        <w:adjustRightInd w:val="0"/>
        <w:ind w:left="284" w:right="113"/>
        <w:rPr>
          <w:rFonts w:ascii="Arial" w:hAnsi="Arial" w:cs="Arial"/>
          <w:sz w:val="18"/>
          <w:szCs w:val="18"/>
        </w:rPr>
      </w:pPr>
      <w:r>
        <w:rPr>
          <w:rFonts w:ascii="Arial" w:hAnsi="Arial" w:cs="Arial"/>
          <w:sz w:val="18"/>
          <w:szCs w:val="18"/>
        </w:rPr>
        <w:t xml:space="preserve">c. ose, si rezultat i Forcës Madhore, Ofruesi i Shërbimeve është i paaftë të kryej një pjesë materiale të Shërbimeve për një periudhë prej jo më pak se gjashtëdhjetë (60) ditë. </w:t>
      </w:r>
    </w:p>
    <w:p w14:paraId="0FEBA729">
      <w:pPr>
        <w:autoSpaceDE w:val="0"/>
        <w:autoSpaceDN w:val="0"/>
        <w:adjustRightInd w:val="0"/>
        <w:ind w:right="113"/>
        <w:rPr>
          <w:rFonts w:ascii="Arial" w:hAnsi="Arial" w:cs="Arial"/>
          <w:sz w:val="18"/>
          <w:szCs w:val="18"/>
        </w:rPr>
      </w:pPr>
      <w:r>
        <w:rPr>
          <w:rFonts w:ascii="Arial" w:hAnsi="Arial" w:cs="Arial"/>
          <w:sz w:val="18"/>
          <w:szCs w:val="18"/>
        </w:rPr>
        <w:t>10.2 Ndërprerja do të bëhet pa paragjykim për ndonjë të drejtë apo autoritet tjetër sipas kontratës së Autoritetit kontraktues dhe Ofruesit të Shërbimeve.</w:t>
      </w:r>
    </w:p>
    <w:p w14:paraId="5E789BB8">
      <w:pPr>
        <w:autoSpaceDE w:val="0"/>
        <w:autoSpaceDN w:val="0"/>
        <w:adjustRightInd w:val="0"/>
        <w:ind w:right="113"/>
        <w:rPr>
          <w:rFonts w:ascii="Arial" w:hAnsi="Arial" w:cs="Arial"/>
          <w:sz w:val="18"/>
          <w:szCs w:val="18"/>
        </w:rPr>
      </w:pPr>
      <w:r>
        <w:rPr>
          <w:rFonts w:ascii="Arial" w:hAnsi="Arial" w:cs="Arial"/>
          <w:sz w:val="18"/>
          <w:szCs w:val="18"/>
        </w:rPr>
        <w:t>10.3 Në rast të ndërprerjes sipas paragrafit (a) dhe (b) te Seksionit 10.1, Autoriteti kontraktues do ta paguajë Ofruesin e Shërbimeve për humbje ose dëm që mund t’i jetë shkaktuar Ofruesit të Shërbimeve.</w:t>
      </w:r>
    </w:p>
    <w:p w14:paraId="53FADB27">
      <w:pPr>
        <w:tabs>
          <w:tab w:val="left" w:pos="900"/>
        </w:tabs>
        <w:spacing w:after="120"/>
        <w:rPr>
          <w:rFonts w:ascii="Arial" w:hAnsi="Arial" w:cs="Arial"/>
          <w:b/>
          <w:sz w:val="18"/>
          <w:szCs w:val="18"/>
        </w:rPr>
      </w:pPr>
      <w:r>
        <w:rPr>
          <w:rFonts w:ascii="Arial" w:hAnsi="Arial" w:cs="Arial"/>
          <w:b/>
          <w:sz w:val="18"/>
          <w:szCs w:val="18"/>
        </w:rPr>
        <w:t>Neni 11</w:t>
      </w:r>
      <w:r>
        <w:rPr>
          <w:rFonts w:ascii="Arial" w:hAnsi="Arial" w:cs="Arial"/>
          <w:b/>
          <w:sz w:val="18"/>
          <w:szCs w:val="18"/>
        </w:rPr>
        <w:tab/>
      </w:r>
      <w:r>
        <w:rPr>
          <w:rFonts w:ascii="Arial" w:hAnsi="Arial" w:cs="Arial"/>
          <w:b/>
          <w:sz w:val="18"/>
          <w:szCs w:val="18"/>
        </w:rPr>
        <w:tab/>
      </w:r>
      <w:r>
        <w:rPr>
          <w:rFonts w:ascii="Arial" w:hAnsi="Arial" w:cs="Arial"/>
          <w:b/>
          <w:sz w:val="18"/>
          <w:szCs w:val="18"/>
        </w:rPr>
        <w:t>Obligimet e Ofruesit të Shërbimeve</w:t>
      </w:r>
    </w:p>
    <w:p w14:paraId="59B643EE">
      <w:pPr>
        <w:pStyle w:val="125"/>
        <w:ind w:left="0" w:firstLine="0"/>
        <w:jc w:val="both"/>
        <w:rPr>
          <w:rFonts w:ascii="Arial" w:hAnsi="Arial" w:cs="Arial"/>
          <w:sz w:val="18"/>
          <w:szCs w:val="18"/>
          <w:lang w:val="sq-AL"/>
        </w:rPr>
      </w:pPr>
      <w:r>
        <w:rPr>
          <w:rFonts w:ascii="Arial" w:hAnsi="Arial" w:cs="Arial"/>
          <w:sz w:val="18"/>
          <w:szCs w:val="18"/>
          <w:lang w:val="sq-AL"/>
        </w:rPr>
        <w:t xml:space="preserve">11.1 Ofruesi i Shërbimeve do të kryej Shërbimet sipas kontratës me kujdes, efikasitet dhe zell, në përputhje me praktikat më të mira profesionale. </w:t>
      </w:r>
    </w:p>
    <w:p w14:paraId="4058D65B">
      <w:pPr>
        <w:pStyle w:val="125"/>
        <w:ind w:left="0" w:firstLine="0"/>
        <w:jc w:val="both"/>
        <w:rPr>
          <w:rFonts w:ascii="Arial" w:hAnsi="Arial" w:cs="Arial"/>
          <w:sz w:val="18"/>
          <w:szCs w:val="18"/>
          <w:lang w:val="sq-AL"/>
        </w:rPr>
      </w:pPr>
      <w:r>
        <w:rPr>
          <w:rFonts w:ascii="Arial" w:hAnsi="Arial" w:cs="Arial"/>
          <w:sz w:val="18"/>
          <w:szCs w:val="18"/>
          <w:lang w:val="sq-AL"/>
        </w:rPr>
        <w:t>11.2 Ofruesi i Shërbimeve duhet të veprojë sipas urdhrave administrative që i jep autoriteti kontraktues. Nëse Ofruesi i Shërbimeve konsideron se kërkesa e një urdhri administrativ shkon përtej fushëveprimit të kontratës, ai, duke iu ekspozuar dënimit për shkelje të kontratës, do ta njoftojë autoritetin kontraktues për këtë duke i paraqitur arsyet e tij brenda 30 ditësh pas pranimit të urdhrit. Ekzekutimi i urdhrit administrativ nuk do të pezullohet për shkak të këtij njoftimi.</w:t>
      </w:r>
    </w:p>
    <w:p w14:paraId="2B24332E">
      <w:pPr>
        <w:widowControl w:val="0"/>
        <w:spacing w:after="120"/>
        <w:rPr>
          <w:rFonts w:ascii="Arial" w:hAnsi="Arial" w:cs="Arial"/>
          <w:sz w:val="18"/>
          <w:szCs w:val="18"/>
        </w:rPr>
      </w:pPr>
      <w:r>
        <w:rPr>
          <w:rFonts w:ascii="Arial" w:hAnsi="Arial" w:cs="Arial"/>
          <w:sz w:val="18"/>
          <w:szCs w:val="18"/>
        </w:rPr>
        <w:t xml:space="preserve">11.3 Ofruesi i Shërbimeve duhet t’i respektojë dhe të veprojë sipas të gjitha ligjeve dhe rregulloreve në fuqi në Republikën e Kosovës dhe do të sigurojë që personeli i tij, të afërmit e tyre, dhe punëtorët vendorë të tij gjithashtu t’i respektojnë dhe të veprojnë sipas këtyre ligjeve dhe rregulloreve. </w:t>
      </w:r>
    </w:p>
    <w:p w14:paraId="26CC488D">
      <w:pPr>
        <w:widowControl w:val="0"/>
        <w:spacing w:after="120"/>
        <w:rPr>
          <w:rFonts w:ascii="Arial" w:hAnsi="Arial" w:cs="Arial"/>
          <w:sz w:val="18"/>
          <w:szCs w:val="18"/>
        </w:rPr>
      </w:pPr>
      <w:r>
        <w:rPr>
          <w:rFonts w:ascii="Arial" w:hAnsi="Arial" w:cs="Arial"/>
          <w:sz w:val="18"/>
          <w:szCs w:val="18"/>
        </w:rPr>
        <w:t xml:space="preserve">11.4 Ofruesi i Shërbimeve duhet t’i trajtojë të gjitha dokumentet dhe informatat e marra lidhur me kontratën si private dhe konfidenciale. Përveç në rastet kur kjo është e nevojshme për qëllime të ekzekutimit të kontratës, ai nuk do të publikojë ose shpalosë asnjë detaj të kontratës pa pajtim paraprak me shkrim nga Autoriteti kontraktues. </w:t>
      </w:r>
    </w:p>
    <w:p w14:paraId="0607FEBA">
      <w:pPr>
        <w:widowControl w:val="0"/>
        <w:spacing w:after="120"/>
        <w:rPr>
          <w:rFonts w:ascii="Arial" w:hAnsi="Arial" w:cs="Arial"/>
          <w:sz w:val="20"/>
        </w:rPr>
      </w:pPr>
      <w:r>
        <w:rPr>
          <w:rFonts w:ascii="Arial" w:hAnsi="Arial" w:cs="Arial"/>
          <w:sz w:val="18"/>
          <w:szCs w:val="18"/>
        </w:rPr>
        <w:t>11.5 Nëse</w:t>
      </w:r>
      <w:r>
        <w:rPr>
          <w:rFonts w:ascii="Arial" w:hAnsi="Arial" w:cs="Arial"/>
          <w:color w:val="000000"/>
          <w:sz w:val="18"/>
          <w:szCs w:val="18"/>
        </w:rPr>
        <w:t xml:space="preserve"> </w:t>
      </w:r>
      <w:r>
        <w:rPr>
          <w:rFonts w:ascii="Arial" w:hAnsi="Arial" w:cs="Arial"/>
          <w:sz w:val="18"/>
          <w:szCs w:val="18"/>
        </w:rPr>
        <w:t>Ofruesi i Shërbimeve është konsorcium i dy ose më tepër personave, të gjithë personat e tillë do të jenë bashkërisht dhe vazhdimisht të obliguar t’i plotësojnë kushtet e kontratës. Personi i caktuar nga konsorciumi që të veproj në emër të tij për qëllime të kësaj kontrate do të ketë autoritetin që të lidh konsorciumin. Përbërja e grupit nuk do të ndryshohet pa miratim paraprak me shkrim nga Autoriteti kontraktues.</w:t>
      </w:r>
    </w:p>
    <w:p w14:paraId="7BC3CD34">
      <w:pPr>
        <w:autoSpaceDE w:val="0"/>
        <w:autoSpaceDN w:val="0"/>
        <w:adjustRightInd w:val="0"/>
        <w:rPr>
          <w:rStyle w:val="126"/>
          <w:rFonts w:ascii="Arial" w:hAnsi="Arial" w:cs="Arial"/>
          <w:color w:val="000000"/>
          <w:sz w:val="18"/>
          <w:szCs w:val="18"/>
        </w:rPr>
      </w:pPr>
      <w:r>
        <w:rPr>
          <w:rFonts w:ascii="Arial" w:hAnsi="Arial" w:cs="Arial"/>
          <w:sz w:val="18"/>
          <w:szCs w:val="18"/>
        </w:rPr>
        <w:t xml:space="preserve">11.6 Ofruesi i Shërbimeve </w:t>
      </w:r>
      <w:r>
        <w:rPr>
          <w:rStyle w:val="126"/>
          <w:rFonts w:ascii="Arial" w:hAnsi="Arial" w:cs="Arial"/>
          <w:color w:val="000000"/>
          <w:sz w:val="18"/>
          <w:szCs w:val="18"/>
        </w:rPr>
        <w:t>do të</w:t>
      </w:r>
      <w:r>
        <w:rPr>
          <w:rFonts w:ascii="Arial" w:hAnsi="Arial" w:cs="Arial"/>
          <w:color w:val="000000"/>
          <w:sz w:val="18"/>
          <w:szCs w:val="18"/>
        </w:rPr>
        <w:t xml:space="preserve"> </w:t>
      </w:r>
      <w:r>
        <w:rPr>
          <w:rStyle w:val="126"/>
          <w:rFonts w:ascii="Arial" w:hAnsi="Arial" w:cs="Arial"/>
          <w:color w:val="000000"/>
          <w:sz w:val="18"/>
          <w:szCs w:val="18"/>
        </w:rPr>
        <w:t>punësoj</w:t>
      </w:r>
      <w:r>
        <w:rPr>
          <w:rFonts w:ascii="Arial" w:hAnsi="Arial" w:cs="Arial"/>
          <w:color w:val="000000"/>
          <w:sz w:val="18"/>
          <w:szCs w:val="18"/>
        </w:rPr>
        <w:t xml:space="preserve"> </w:t>
      </w:r>
      <w:r>
        <w:rPr>
          <w:rStyle w:val="126"/>
          <w:rFonts w:ascii="Arial" w:hAnsi="Arial" w:cs="Arial"/>
          <w:color w:val="000000"/>
          <w:sz w:val="18"/>
          <w:szCs w:val="18"/>
        </w:rPr>
        <w:t>personelin</w:t>
      </w:r>
      <w:r>
        <w:rPr>
          <w:rFonts w:ascii="Arial" w:hAnsi="Arial" w:cs="Arial"/>
          <w:color w:val="000000"/>
          <w:sz w:val="18"/>
          <w:szCs w:val="18"/>
        </w:rPr>
        <w:t xml:space="preserve"> </w:t>
      </w:r>
      <w:r>
        <w:rPr>
          <w:rStyle w:val="126"/>
          <w:rFonts w:ascii="Arial" w:hAnsi="Arial" w:cs="Arial"/>
          <w:color w:val="000000"/>
          <w:sz w:val="18"/>
          <w:szCs w:val="18"/>
        </w:rPr>
        <w:t>kyç të identifikuar në</w:t>
      </w:r>
      <w:r>
        <w:rPr>
          <w:rFonts w:ascii="Arial" w:hAnsi="Arial" w:cs="Arial"/>
          <w:color w:val="000000"/>
          <w:sz w:val="18"/>
          <w:szCs w:val="18"/>
        </w:rPr>
        <w:t xml:space="preserve"> </w:t>
      </w:r>
      <w:r>
        <w:rPr>
          <w:rStyle w:val="126"/>
          <w:rFonts w:ascii="Arial" w:hAnsi="Arial" w:cs="Arial"/>
          <w:color w:val="000000"/>
          <w:sz w:val="18"/>
          <w:szCs w:val="18"/>
        </w:rPr>
        <w:t>tender</w:t>
      </w:r>
      <w:r>
        <w:rPr>
          <w:rFonts w:ascii="Arial" w:hAnsi="Arial" w:cs="Arial"/>
          <w:color w:val="000000"/>
          <w:sz w:val="18"/>
          <w:szCs w:val="18"/>
        </w:rPr>
        <w:t xml:space="preserve"> </w:t>
      </w:r>
      <w:r>
        <w:rPr>
          <w:rStyle w:val="126"/>
          <w:rFonts w:ascii="Arial" w:hAnsi="Arial" w:cs="Arial"/>
          <w:color w:val="000000"/>
          <w:sz w:val="18"/>
          <w:szCs w:val="18"/>
        </w:rPr>
        <w:t>e tij</w:t>
      </w:r>
      <w:r>
        <w:rPr>
          <w:rFonts w:ascii="Arial" w:hAnsi="Arial" w:cs="Arial"/>
          <w:color w:val="000000"/>
          <w:sz w:val="18"/>
          <w:szCs w:val="18"/>
        </w:rPr>
        <w:t xml:space="preserve"> </w:t>
      </w:r>
      <w:r>
        <w:rPr>
          <w:rStyle w:val="126"/>
          <w:rFonts w:ascii="Arial" w:hAnsi="Arial" w:cs="Arial"/>
          <w:color w:val="000000"/>
          <w:sz w:val="18"/>
          <w:szCs w:val="18"/>
        </w:rPr>
        <w:t>për të kryer</w:t>
      </w:r>
      <w:r>
        <w:rPr>
          <w:rFonts w:ascii="Arial" w:hAnsi="Arial" w:cs="Arial"/>
          <w:color w:val="000000"/>
          <w:sz w:val="18"/>
          <w:szCs w:val="18"/>
        </w:rPr>
        <w:t xml:space="preserve"> </w:t>
      </w:r>
      <w:r>
        <w:rPr>
          <w:rStyle w:val="126"/>
          <w:rFonts w:ascii="Arial" w:hAnsi="Arial" w:cs="Arial"/>
          <w:color w:val="000000"/>
          <w:sz w:val="18"/>
          <w:szCs w:val="18"/>
        </w:rPr>
        <w:t>funksionet e</w:t>
      </w:r>
      <w:r>
        <w:rPr>
          <w:rFonts w:ascii="Arial" w:hAnsi="Arial" w:cs="Arial"/>
          <w:color w:val="000000"/>
          <w:sz w:val="18"/>
          <w:szCs w:val="18"/>
        </w:rPr>
        <w:t xml:space="preserve"> </w:t>
      </w:r>
      <w:r>
        <w:rPr>
          <w:rStyle w:val="126"/>
          <w:rFonts w:ascii="Arial" w:hAnsi="Arial" w:cs="Arial"/>
          <w:color w:val="000000"/>
          <w:sz w:val="18"/>
          <w:szCs w:val="18"/>
        </w:rPr>
        <w:t>përcaktuara në</w:t>
      </w:r>
      <w:r>
        <w:rPr>
          <w:rFonts w:ascii="Arial" w:hAnsi="Arial" w:cs="Arial"/>
          <w:color w:val="000000"/>
          <w:sz w:val="18"/>
          <w:szCs w:val="18"/>
        </w:rPr>
        <w:t xml:space="preserve"> </w:t>
      </w:r>
      <w:r>
        <w:rPr>
          <w:rStyle w:val="126"/>
          <w:rFonts w:ascii="Arial" w:hAnsi="Arial" w:cs="Arial"/>
          <w:color w:val="000000"/>
          <w:sz w:val="18"/>
          <w:szCs w:val="18"/>
        </w:rPr>
        <w:t>tenderin</w:t>
      </w:r>
      <w:r>
        <w:rPr>
          <w:rFonts w:ascii="Arial" w:hAnsi="Arial" w:cs="Arial"/>
          <w:color w:val="000000"/>
          <w:sz w:val="18"/>
          <w:szCs w:val="18"/>
        </w:rPr>
        <w:t xml:space="preserve"> </w:t>
      </w:r>
      <w:r>
        <w:rPr>
          <w:rStyle w:val="126"/>
          <w:rFonts w:ascii="Arial" w:hAnsi="Arial" w:cs="Arial"/>
          <w:color w:val="000000"/>
          <w:sz w:val="18"/>
          <w:szCs w:val="18"/>
        </w:rPr>
        <w:t>e tij</w:t>
      </w:r>
      <w:r>
        <w:rPr>
          <w:rFonts w:ascii="Arial" w:hAnsi="Arial" w:cs="Arial"/>
          <w:color w:val="000000"/>
          <w:sz w:val="18"/>
          <w:szCs w:val="18"/>
        </w:rPr>
        <w:t xml:space="preserve">. </w:t>
      </w:r>
      <w:r>
        <w:rPr>
          <w:rStyle w:val="126"/>
          <w:rFonts w:ascii="Arial" w:hAnsi="Arial" w:cs="Arial"/>
          <w:color w:val="000000"/>
          <w:sz w:val="18"/>
          <w:szCs w:val="18"/>
        </w:rPr>
        <w:t>Për më tepër</w:t>
      </w:r>
      <w:r>
        <w:rPr>
          <w:rFonts w:ascii="Arial" w:hAnsi="Arial" w:cs="Arial"/>
          <w:color w:val="000000"/>
          <w:sz w:val="18"/>
          <w:szCs w:val="18"/>
        </w:rPr>
        <w:t xml:space="preserve">, gjatë ekzekutimit, </w:t>
      </w:r>
      <w:r>
        <w:rPr>
          <w:rStyle w:val="126"/>
          <w:rFonts w:ascii="Arial" w:hAnsi="Arial" w:cs="Arial"/>
          <w:color w:val="000000"/>
          <w:sz w:val="18"/>
          <w:szCs w:val="18"/>
        </w:rPr>
        <w:t>dhe</w:t>
      </w:r>
      <w:r>
        <w:rPr>
          <w:rFonts w:ascii="Arial" w:hAnsi="Arial" w:cs="Arial"/>
          <w:color w:val="000000"/>
          <w:sz w:val="18"/>
          <w:szCs w:val="18"/>
        </w:rPr>
        <w:t xml:space="preserve"> </w:t>
      </w:r>
      <w:r>
        <w:rPr>
          <w:rStyle w:val="126"/>
          <w:rFonts w:ascii="Arial" w:hAnsi="Arial" w:cs="Arial"/>
          <w:color w:val="000000"/>
          <w:sz w:val="18"/>
          <w:szCs w:val="18"/>
        </w:rPr>
        <w:t>në bazë</w:t>
      </w:r>
      <w:r>
        <w:rPr>
          <w:rFonts w:ascii="Arial" w:hAnsi="Arial" w:cs="Arial"/>
          <w:color w:val="000000"/>
          <w:sz w:val="18"/>
          <w:szCs w:val="18"/>
        </w:rPr>
        <w:t xml:space="preserve"> </w:t>
      </w:r>
      <w:r>
        <w:rPr>
          <w:rStyle w:val="126"/>
          <w:rFonts w:ascii="Arial" w:hAnsi="Arial" w:cs="Arial"/>
          <w:color w:val="000000"/>
          <w:sz w:val="18"/>
          <w:szCs w:val="18"/>
        </w:rPr>
        <w:t>të</w:t>
      </w:r>
      <w:r>
        <w:rPr>
          <w:rFonts w:ascii="Arial" w:hAnsi="Arial" w:cs="Arial"/>
          <w:color w:val="000000"/>
          <w:sz w:val="18"/>
          <w:szCs w:val="18"/>
        </w:rPr>
        <w:t xml:space="preserve"> </w:t>
      </w:r>
      <w:r>
        <w:rPr>
          <w:rStyle w:val="126"/>
          <w:rFonts w:ascii="Arial" w:hAnsi="Arial" w:cs="Arial"/>
          <w:color w:val="000000"/>
          <w:sz w:val="18"/>
          <w:szCs w:val="18"/>
        </w:rPr>
        <w:t>kërkesës me shkrim</w:t>
      </w:r>
      <w:r>
        <w:rPr>
          <w:rFonts w:ascii="Arial" w:hAnsi="Arial" w:cs="Arial"/>
          <w:color w:val="000000"/>
          <w:sz w:val="18"/>
          <w:szCs w:val="18"/>
        </w:rPr>
        <w:t xml:space="preserve"> </w:t>
      </w:r>
      <w:r>
        <w:rPr>
          <w:rStyle w:val="126"/>
          <w:rFonts w:ascii="Arial" w:hAnsi="Arial" w:cs="Arial"/>
          <w:color w:val="000000"/>
          <w:sz w:val="18"/>
          <w:szCs w:val="18"/>
        </w:rPr>
        <w:t>dhe të</w:t>
      </w:r>
      <w:r>
        <w:rPr>
          <w:rFonts w:ascii="Arial" w:hAnsi="Arial" w:cs="Arial"/>
          <w:color w:val="000000"/>
          <w:sz w:val="18"/>
          <w:szCs w:val="18"/>
        </w:rPr>
        <w:t xml:space="preserve"> </w:t>
      </w:r>
      <w:r>
        <w:rPr>
          <w:rStyle w:val="126"/>
          <w:rFonts w:ascii="Arial" w:hAnsi="Arial" w:cs="Arial"/>
          <w:color w:val="000000"/>
          <w:sz w:val="18"/>
          <w:szCs w:val="18"/>
        </w:rPr>
        <w:t>arsyetuar</w:t>
      </w:r>
      <w:r>
        <w:rPr>
          <w:rFonts w:ascii="Arial" w:hAnsi="Arial" w:cs="Arial"/>
          <w:color w:val="000000"/>
          <w:sz w:val="18"/>
          <w:szCs w:val="18"/>
        </w:rPr>
        <w:t xml:space="preserve">, </w:t>
      </w:r>
      <w:r>
        <w:rPr>
          <w:rStyle w:val="126"/>
          <w:rFonts w:ascii="Arial" w:hAnsi="Arial" w:cs="Arial"/>
          <w:color w:val="000000"/>
          <w:sz w:val="18"/>
          <w:szCs w:val="18"/>
        </w:rPr>
        <w:t>autoriteti kontraktues</w:t>
      </w:r>
      <w:r>
        <w:rPr>
          <w:rFonts w:ascii="Arial" w:hAnsi="Arial" w:cs="Arial"/>
          <w:color w:val="000000"/>
          <w:sz w:val="18"/>
          <w:szCs w:val="18"/>
        </w:rPr>
        <w:t xml:space="preserve"> </w:t>
      </w:r>
      <w:r>
        <w:rPr>
          <w:rStyle w:val="126"/>
          <w:rFonts w:ascii="Arial" w:hAnsi="Arial" w:cs="Arial"/>
          <w:color w:val="000000"/>
          <w:sz w:val="18"/>
          <w:szCs w:val="18"/>
        </w:rPr>
        <w:t>mund të</w:t>
      </w:r>
      <w:r>
        <w:rPr>
          <w:rFonts w:ascii="Arial" w:hAnsi="Arial" w:cs="Arial"/>
          <w:color w:val="000000"/>
          <w:sz w:val="18"/>
          <w:szCs w:val="18"/>
        </w:rPr>
        <w:t xml:space="preserve"> </w:t>
      </w:r>
      <w:r>
        <w:rPr>
          <w:rStyle w:val="126"/>
          <w:rFonts w:ascii="Arial" w:hAnsi="Arial" w:cs="Arial"/>
          <w:color w:val="000000"/>
          <w:sz w:val="18"/>
          <w:szCs w:val="18"/>
        </w:rPr>
        <w:t>kërkojë</w:t>
      </w:r>
      <w:r>
        <w:rPr>
          <w:rFonts w:ascii="Arial" w:hAnsi="Arial" w:cs="Arial"/>
          <w:color w:val="000000"/>
          <w:sz w:val="18"/>
          <w:szCs w:val="18"/>
        </w:rPr>
        <w:t xml:space="preserve"> </w:t>
      </w:r>
      <w:r>
        <w:rPr>
          <w:rStyle w:val="126"/>
          <w:rFonts w:ascii="Arial" w:hAnsi="Arial" w:cs="Arial"/>
          <w:color w:val="000000"/>
          <w:sz w:val="18"/>
          <w:szCs w:val="18"/>
        </w:rPr>
        <w:t>për</w:t>
      </w:r>
      <w:r>
        <w:rPr>
          <w:rFonts w:ascii="Arial" w:hAnsi="Arial" w:cs="Arial"/>
          <w:color w:val="000000"/>
          <w:sz w:val="18"/>
          <w:szCs w:val="18"/>
        </w:rPr>
        <w:t xml:space="preserve"> </w:t>
      </w:r>
      <w:r>
        <w:rPr>
          <w:rStyle w:val="126"/>
          <w:rFonts w:ascii="Arial" w:hAnsi="Arial" w:cs="Arial"/>
          <w:color w:val="000000"/>
          <w:sz w:val="18"/>
          <w:szCs w:val="18"/>
        </w:rPr>
        <w:t>një</w:t>
      </w:r>
      <w:r>
        <w:rPr>
          <w:rFonts w:ascii="Arial" w:hAnsi="Arial" w:cs="Arial"/>
          <w:color w:val="000000"/>
          <w:sz w:val="18"/>
          <w:szCs w:val="18"/>
        </w:rPr>
        <w:t xml:space="preserve"> </w:t>
      </w:r>
      <w:r>
        <w:rPr>
          <w:rStyle w:val="126"/>
          <w:rFonts w:ascii="Arial" w:hAnsi="Arial" w:cs="Arial"/>
          <w:color w:val="000000"/>
          <w:sz w:val="18"/>
          <w:szCs w:val="18"/>
        </w:rPr>
        <w:t>zëvendësim</w:t>
      </w:r>
      <w:r>
        <w:rPr>
          <w:rFonts w:ascii="Arial" w:hAnsi="Arial" w:cs="Arial"/>
          <w:color w:val="000000"/>
          <w:sz w:val="18"/>
          <w:szCs w:val="18"/>
        </w:rPr>
        <w:t xml:space="preserve"> </w:t>
      </w:r>
      <w:r>
        <w:rPr>
          <w:rStyle w:val="126"/>
          <w:rFonts w:ascii="Arial" w:hAnsi="Arial" w:cs="Arial"/>
          <w:color w:val="000000"/>
          <w:sz w:val="18"/>
          <w:szCs w:val="18"/>
        </w:rPr>
        <w:t>nëse vlerëson</w:t>
      </w:r>
      <w:r>
        <w:rPr>
          <w:rFonts w:ascii="Arial" w:hAnsi="Arial" w:cs="Arial"/>
          <w:color w:val="000000"/>
          <w:sz w:val="18"/>
          <w:szCs w:val="18"/>
        </w:rPr>
        <w:t xml:space="preserve"> </w:t>
      </w:r>
      <w:r>
        <w:rPr>
          <w:rStyle w:val="126"/>
          <w:rFonts w:ascii="Arial" w:hAnsi="Arial" w:cs="Arial"/>
          <w:color w:val="000000"/>
          <w:sz w:val="18"/>
          <w:szCs w:val="18"/>
        </w:rPr>
        <w:t>se</w:t>
      </w:r>
      <w:r>
        <w:rPr>
          <w:rFonts w:ascii="Arial" w:hAnsi="Arial" w:cs="Arial"/>
          <w:color w:val="000000"/>
          <w:sz w:val="18"/>
          <w:szCs w:val="18"/>
        </w:rPr>
        <w:t xml:space="preserve"> </w:t>
      </w:r>
      <w:r>
        <w:rPr>
          <w:rStyle w:val="126"/>
          <w:rFonts w:ascii="Arial" w:hAnsi="Arial" w:cs="Arial"/>
          <w:color w:val="000000"/>
          <w:sz w:val="18"/>
          <w:szCs w:val="18"/>
        </w:rPr>
        <w:t>një</w:t>
      </w:r>
      <w:r>
        <w:rPr>
          <w:rFonts w:ascii="Arial" w:hAnsi="Arial" w:cs="Arial"/>
          <w:color w:val="000000"/>
          <w:sz w:val="18"/>
          <w:szCs w:val="18"/>
        </w:rPr>
        <w:t xml:space="preserve"> </w:t>
      </w:r>
      <w:r>
        <w:rPr>
          <w:rStyle w:val="126"/>
          <w:rFonts w:ascii="Arial" w:hAnsi="Arial" w:cs="Arial"/>
          <w:color w:val="000000"/>
          <w:sz w:val="18"/>
          <w:szCs w:val="18"/>
        </w:rPr>
        <w:t>anëtar</w:t>
      </w:r>
      <w:r>
        <w:rPr>
          <w:rFonts w:ascii="Arial" w:hAnsi="Arial" w:cs="Arial"/>
          <w:color w:val="000000"/>
          <w:sz w:val="18"/>
          <w:szCs w:val="18"/>
        </w:rPr>
        <w:t xml:space="preserve"> </w:t>
      </w:r>
      <w:r>
        <w:rPr>
          <w:rStyle w:val="126"/>
          <w:rFonts w:ascii="Arial" w:hAnsi="Arial" w:cs="Arial"/>
          <w:color w:val="000000"/>
          <w:sz w:val="18"/>
          <w:szCs w:val="18"/>
        </w:rPr>
        <w:t>i</w:t>
      </w:r>
      <w:r>
        <w:rPr>
          <w:rFonts w:ascii="Arial" w:hAnsi="Arial" w:cs="Arial"/>
          <w:color w:val="000000"/>
          <w:sz w:val="18"/>
          <w:szCs w:val="18"/>
        </w:rPr>
        <w:t xml:space="preserve"> </w:t>
      </w:r>
      <w:r>
        <w:rPr>
          <w:rStyle w:val="126"/>
          <w:rFonts w:ascii="Arial" w:hAnsi="Arial" w:cs="Arial"/>
          <w:color w:val="000000"/>
          <w:sz w:val="18"/>
          <w:szCs w:val="18"/>
        </w:rPr>
        <w:t>stafit</w:t>
      </w:r>
      <w:r>
        <w:rPr>
          <w:rFonts w:ascii="Arial" w:hAnsi="Arial" w:cs="Arial"/>
          <w:color w:val="000000"/>
          <w:sz w:val="18"/>
          <w:szCs w:val="18"/>
        </w:rPr>
        <w:t xml:space="preserve"> </w:t>
      </w:r>
      <w:r>
        <w:rPr>
          <w:rStyle w:val="126"/>
          <w:rFonts w:ascii="Arial" w:hAnsi="Arial" w:cs="Arial"/>
          <w:color w:val="000000"/>
          <w:sz w:val="18"/>
          <w:szCs w:val="18"/>
        </w:rPr>
        <w:t>është</w:t>
      </w:r>
      <w:r>
        <w:rPr>
          <w:rFonts w:ascii="Arial" w:hAnsi="Arial" w:cs="Arial"/>
          <w:color w:val="000000"/>
          <w:sz w:val="18"/>
          <w:szCs w:val="18"/>
        </w:rPr>
        <w:t xml:space="preserve"> </w:t>
      </w:r>
      <w:r>
        <w:rPr>
          <w:rStyle w:val="126"/>
          <w:rFonts w:ascii="Arial" w:hAnsi="Arial" w:cs="Arial"/>
          <w:color w:val="000000"/>
          <w:sz w:val="18"/>
          <w:szCs w:val="18"/>
        </w:rPr>
        <w:t>i paefektshëm</w:t>
      </w:r>
      <w:r>
        <w:rPr>
          <w:rFonts w:ascii="Arial" w:hAnsi="Arial" w:cs="Arial"/>
          <w:color w:val="000000"/>
          <w:sz w:val="18"/>
          <w:szCs w:val="18"/>
        </w:rPr>
        <w:t xml:space="preserve"> </w:t>
      </w:r>
      <w:r>
        <w:rPr>
          <w:rStyle w:val="126"/>
          <w:rFonts w:ascii="Arial" w:hAnsi="Arial" w:cs="Arial"/>
          <w:color w:val="000000"/>
          <w:sz w:val="18"/>
          <w:szCs w:val="18"/>
        </w:rPr>
        <w:t>ose nuk</w:t>
      </w:r>
      <w:r>
        <w:rPr>
          <w:rFonts w:ascii="Arial" w:hAnsi="Arial" w:cs="Arial"/>
          <w:color w:val="000000"/>
          <w:sz w:val="18"/>
          <w:szCs w:val="18"/>
        </w:rPr>
        <w:t xml:space="preserve"> </w:t>
      </w:r>
      <w:r>
        <w:rPr>
          <w:rStyle w:val="126"/>
          <w:rFonts w:ascii="Arial" w:hAnsi="Arial" w:cs="Arial"/>
          <w:color w:val="000000"/>
          <w:sz w:val="18"/>
          <w:szCs w:val="18"/>
        </w:rPr>
        <w:t>kryen</w:t>
      </w:r>
      <w:r>
        <w:rPr>
          <w:rFonts w:ascii="Arial" w:hAnsi="Arial" w:cs="Arial"/>
          <w:color w:val="000000"/>
          <w:sz w:val="18"/>
          <w:szCs w:val="18"/>
        </w:rPr>
        <w:t xml:space="preserve"> </w:t>
      </w:r>
      <w:r>
        <w:rPr>
          <w:rStyle w:val="126"/>
          <w:rFonts w:ascii="Arial" w:hAnsi="Arial" w:cs="Arial"/>
          <w:color w:val="000000"/>
          <w:sz w:val="18"/>
          <w:szCs w:val="18"/>
        </w:rPr>
        <w:t>detyrat</w:t>
      </w:r>
      <w:r>
        <w:rPr>
          <w:rFonts w:ascii="Arial" w:hAnsi="Arial" w:cs="Arial"/>
          <w:color w:val="000000"/>
          <w:sz w:val="18"/>
          <w:szCs w:val="18"/>
        </w:rPr>
        <w:t xml:space="preserve"> </w:t>
      </w:r>
      <w:r>
        <w:rPr>
          <w:rStyle w:val="126"/>
          <w:rFonts w:ascii="Arial" w:hAnsi="Arial" w:cs="Arial"/>
          <w:color w:val="000000"/>
          <w:sz w:val="18"/>
          <w:szCs w:val="18"/>
        </w:rPr>
        <w:t>e tij sipas</w:t>
      </w:r>
      <w:r>
        <w:rPr>
          <w:rFonts w:ascii="Arial" w:hAnsi="Arial" w:cs="Arial"/>
          <w:color w:val="000000"/>
          <w:sz w:val="18"/>
          <w:szCs w:val="18"/>
        </w:rPr>
        <w:t xml:space="preserve"> </w:t>
      </w:r>
      <w:r>
        <w:rPr>
          <w:rStyle w:val="126"/>
          <w:rFonts w:ascii="Arial" w:hAnsi="Arial" w:cs="Arial"/>
          <w:color w:val="000000"/>
          <w:sz w:val="18"/>
          <w:szCs w:val="18"/>
        </w:rPr>
        <w:t>kontratës</w:t>
      </w:r>
      <w:r>
        <w:rPr>
          <w:rFonts w:ascii="Arial" w:hAnsi="Arial" w:cs="Arial"/>
          <w:color w:val="000000"/>
          <w:sz w:val="18"/>
          <w:szCs w:val="18"/>
        </w:rPr>
        <w:t xml:space="preserve">. </w:t>
      </w:r>
      <w:r>
        <w:rPr>
          <w:rStyle w:val="126"/>
          <w:rFonts w:ascii="Arial" w:hAnsi="Arial" w:cs="Arial"/>
          <w:color w:val="000000"/>
          <w:sz w:val="18"/>
          <w:szCs w:val="18"/>
        </w:rPr>
        <w:t>Autoriteti kontraktues do të</w:t>
      </w:r>
      <w:r>
        <w:rPr>
          <w:rFonts w:ascii="Arial" w:hAnsi="Arial" w:cs="Arial"/>
          <w:color w:val="000000"/>
          <w:sz w:val="18"/>
          <w:szCs w:val="18"/>
        </w:rPr>
        <w:t xml:space="preserve"> </w:t>
      </w:r>
      <w:r>
        <w:rPr>
          <w:rStyle w:val="126"/>
          <w:rFonts w:ascii="Arial" w:hAnsi="Arial" w:cs="Arial"/>
          <w:color w:val="000000"/>
          <w:sz w:val="18"/>
          <w:szCs w:val="18"/>
        </w:rPr>
        <w:t>miratojë</w:t>
      </w:r>
      <w:r>
        <w:rPr>
          <w:rFonts w:ascii="Arial" w:hAnsi="Arial" w:cs="Arial"/>
          <w:color w:val="000000"/>
          <w:sz w:val="18"/>
          <w:szCs w:val="18"/>
        </w:rPr>
        <w:t xml:space="preserve"> </w:t>
      </w:r>
      <w:r>
        <w:rPr>
          <w:rStyle w:val="126"/>
          <w:rFonts w:ascii="Arial" w:hAnsi="Arial" w:cs="Arial"/>
          <w:color w:val="000000"/>
          <w:sz w:val="18"/>
          <w:szCs w:val="18"/>
        </w:rPr>
        <w:t>çdo</w:t>
      </w:r>
      <w:r>
        <w:rPr>
          <w:rFonts w:ascii="Arial" w:hAnsi="Arial" w:cs="Arial"/>
          <w:color w:val="000000"/>
          <w:sz w:val="18"/>
          <w:szCs w:val="18"/>
        </w:rPr>
        <w:t xml:space="preserve"> </w:t>
      </w:r>
      <w:r>
        <w:rPr>
          <w:rStyle w:val="126"/>
          <w:rFonts w:ascii="Arial" w:hAnsi="Arial" w:cs="Arial"/>
          <w:color w:val="000000"/>
          <w:sz w:val="18"/>
          <w:szCs w:val="18"/>
        </w:rPr>
        <w:t>zëvendësim</w:t>
      </w:r>
      <w:r>
        <w:rPr>
          <w:rFonts w:ascii="Arial" w:hAnsi="Arial" w:cs="Arial"/>
          <w:color w:val="000000"/>
          <w:sz w:val="18"/>
          <w:szCs w:val="18"/>
        </w:rPr>
        <w:t xml:space="preserve"> të</w:t>
      </w:r>
      <w:r>
        <w:rPr>
          <w:rStyle w:val="126"/>
          <w:rFonts w:ascii="Arial" w:hAnsi="Arial" w:cs="Arial"/>
          <w:color w:val="000000"/>
          <w:sz w:val="18"/>
          <w:szCs w:val="18"/>
        </w:rPr>
        <w:t xml:space="preserve"> propozuar</w:t>
      </w:r>
      <w:r>
        <w:rPr>
          <w:rFonts w:ascii="Arial" w:hAnsi="Arial" w:cs="Arial"/>
          <w:color w:val="000000"/>
          <w:sz w:val="18"/>
          <w:szCs w:val="18"/>
        </w:rPr>
        <w:t xml:space="preserve"> </w:t>
      </w:r>
      <w:r>
        <w:rPr>
          <w:rStyle w:val="126"/>
          <w:rFonts w:ascii="Arial" w:hAnsi="Arial" w:cs="Arial"/>
          <w:color w:val="000000"/>
          <w:sz w:val="18"/>
          <w:szCs w:val="18"/>
        </w:rPr>
        <w:t>të</w:t>
      </w:r>
      <w:r>
        <w:rPr>
          <w:rFonts w:ascii="Arial" w:hAnsi="Arial" w:cs="Arial"/>
          <w:color w:val="000000"/>
          <w:sz w:val="18"/>
          <w:szCs w:val="18"/>
        </w:rPr>
        <w:t xml:space="preserve"> </w:t>
      </w:r>
      <w:r>
        <w:rPr>
          <w:rStyle w:val="126"/>
          <w:rFonts w:ascii="Arial" w:hAnsi="Arial" w:cs="Arial"/>
          <w:color w:val="000000"/>
          <w:sz w:val="18"/>
          <w:szCs w:val="18"/>
        </w:rPr>
        <w:t>personelit kryesor</w:t>
      </w:r>
      <w:r>
        <w:rPr>
          <w:rFonts w:ascii="Arial" w:hAnsi="Arial" w:cs="Arial"/>
          <w:color w:val="000000"/>
          <w:sz w:val="18"/>
          <w:szCs w:val="18"/>
        </w:rPr>
        <w:t xml:space="preserve">, vetëm nëse </w:t>
      </w:r>
      <w:r>
        <w:rPr>
          <w:rStyle w:val="126"/>
          <w:rFonts w:ascii="Arial" w:hAnsi="Arial" w:cs="Arial"/>
          <w:color w:val="000000"/>
          <w:sz w:val="18"/>
          <w:szCs w:val="18"/>
        </w:rPr>
        <w:t>kualifikimet</w:t>
      </w:r>
      <w:r>
        <w:rPr>
          <w:rFonts w:ascii="Arial" w:hAnsi="Arial" w:cs="Arial"/>
          <w:color w:val="000000"/>
          <w:sz w:val="18"/>
          <w:szCs w:val="18"/>
        </w:rPr>
        <w:t xml:space="preserve"> </w:t>
      </w:r>
      <w:r>
        <w:rPr>
          <w:rStyle w:val="126"/>
          <w:rFonts w:ascii="Arial" w:hAnsi="Arial" w:cs="Arial"/>
          <w:color w:val="000000"/>
          <w:sz w:val="18"/>
          <w:szCs w:val="18"/>
        </w:rPr>
        <w:t>e tyre</w:t>
      </w:r>
      <w:r>
        <w:rPr>
          <w:rFonts w:ascii="Arial" w:hAnsi="Arial" w:cs="Arial"/>
          <w:color w:val="000000"/>
          <w:sz w:val="18"/>
          <w:szCs w:val="18"/>
        </w:rPr>
        <w:t xml:space="preserve"> </w:t>
      </w:r>
      <w:r>
        <w:rPr>
          <w:rStyle w:val="126"/>
          <w:rFonts w:ascii="Arial" w:hAnsi="Arial" w:cs="Arial"/>
          <w:color w:val="000000"/>
          <w:sz w:val="18"/>
          <w:szCs w:val="18"/>
        </w:rPr>
        <w:t>përkatëse</w:t>
      </w:r>
      <w:r>
        <w:rPr>
          <w:rFonts w:ascii="Arial" w:hAnsi="Arial" w:cs="Arial"/>
          <w:color w:val="000000"/>
          <w:sz w:val="18"/>
          <w:szCs w:val="18"/>
        </w:rPr>
        <w:t xml:space="preserve"> </w:t>
      </w:r>
      <w:r>
        <w:rPr>
          <w:rStyle w:val="126"/>
          <w:rFonts w:ascii="Arial" w:hAnsi="Arial" w:cs="Arial"/>
          <w:color w:val="000000"/>
          <w:sz w:val="18"/>
          <w:szCs w:val="18"/>
        </w:rPr>
        <w:t>dhe</w:t>
      </w:r>
      <w:r>
        <w:rPr>
          <w:rFonts w:ascii="Arial" w:hAnsi="Arial" w:cs="Arial"/>
          <w:color w:val="000000"/>
          <w:sz w:val="18"/>
          <w:szCs w:val="18"/>
        </w:rPr>
        <w:t xml:space="preserve"> </w:t>
      </w:r>
      <w:r>
        <w:rPr>
          <w:rStyle w:val="126"/>
          <w:rFonts w:ascii="Arial" w:hAnsi="Arial" w:cs="Arial"/>
          <w:color w:val="000000"/>
          <w:sz w:val="18"/>
          <w:szCs w:val="18"/>
        </w:rPr>
        <w:t>aftësitë</w:t>
      </w:r>
      <w:r>
        <w:rPr>
          <w:rFonts w:ascii="Arial" w:hAnsi="Arial" w:cs="Arial"/>
          <w:color w:val="000000"/>
          <w:sz w:val="18"/>
          <w:szCs w:val="18"/>
        </w:rPr>
        <w:t xml:space="preserve"> </w:t>
      </w:r>
      <w:r>
        <w:rPr>
          <w:rStyle w:val="126"/>
          <w:rFonts w:ascii="Arial" w:hAnsi="Arial" w:cs="Arial"/>
          <w:color w:val="000000"/>
          <w:sz w:val="18"/>
          <w:szCs w:val="18"/>
        </w:rPr>
        <w:t>janë thelbsisht të</w:t>
      </w:r>
      <w:r>
        <w:rPr>
          <w:rFonts w:ascii="Arial" w:hAnsi="Arial" w:cs="Arial"/>
          <w:color w:val="000000"/>
          <w:sz w:val="18"/>
          <w:szCs w:val="18"/>
        </w:rPr>
        <w:t xml:space="preserve"> </w:t>
      </w:r>
      <w:r>
        <w:rPr>
          <w:rStyle w:val="126"/>
          <w:rFonts w:ascii="Arial" w:hAnsi="Arial" w:cs="Arial"/>
          <w:color w:val="000000"/>
          <w:sz w:val="18"/>
          <w:szCs w:val="18"/>
        </w:rPr>
        <w:t>barabarta ose</w:t>
      </w:r>
      <w:r>
        <w:rPr>
          <w:rFonts w:ascii="Arial" w:hAnsi="Arial" w:cs="Arial"/>
          <w:color w:val="000000"/>
          <w:sz w:val="18"/>
          <w:szCs w:val="18"/>
        </w:rPr>
        <w:t xml:space="preserve"> </w:t>
      </w:r>
      <w:r>
        <w:rPr>
          <w:rStyle w:val="126"/>
          <w:rFonts w:ascii="Arial" w:hAnsi="Arial" w:cs="Arial"/>
          <w:color w:val="000000"/>
          <w:sz w:val="18"/>
          <w:szCs w:val="18"/>
        </w:rPr>
        <w:t>më të mirë</w:t>
      </w:r>
      <w:r>
        <w:rPr>
          <w:rFonts w:ascii="Arial" w:hAnsi="Arial" w:cs="Arial"/>
          <w:color w:val="000000"/>
          <w:sz w:val="18"/>
          <w:szCs w:val="18"/>
        </w:rPr>
        <w:t xml:space="preserve"> </w:t>
      </w:r>
      <w:r>
        <w:rPr>
          <w:rStyle w:val="126"/>
          <w:rFonts w:ascii="Arial" w:hAnsi="Arial" w:cs="Arial"/>
          <w:color w:val="000000"/>
          <w:sz w:val="18"/>
          <w:szCs w:val="18"/>
        </w:rPr>
        <w:t>se</w:t>
      </w:r>
      <w:r>
        <w:rPr>
          <w:rFonts w:ascii="Arial" w:hAnsi="Arial" w:cs="Arial"/>
          <w:color w:val="000000"/>
          <w:sz w:val="18"/>
          <w:szCs w:val="18"/>
        </w:rPr>
        <w:t xml:space="preserve"> </w:t>
      </w:r>
      <w:r>
        <w:rPr>
          <w:rStyle w:val="126"/>
          <w:rFonts w:ascii="Arial" w:hAnsi="Arial" w:cs="Arial"/>
          <w:color w:val="000000"/>
          <w:sz w:val="18"/>
          <w:szCs w:val="18"/>
        </w:rPr>
        <w:t>ato të</w:t>
      </w:r>
      <w:r>
        <w:rPr>
          <w:rFonts w:ascii="Arial" w:hAnsi="Arial" w:cs="Arial"/>
          <w:color w:val="000000"/>
          <w:sz w:val="18"/>
          <w:szCs w:val="18"/>
        </w:rPr>
        <w:t xml:space="preserve"> </w:t>
      </w:r>
      <w:r>
        <w:rPr>
          <w:rStyle w:val="126"/>
          <w:rFonts w:ascii="Arial" w:hAnsi="Arial" w:cs="Arial"/>
          <w:color w:val="000000"/>
          <w:sz w:val="18"/>
          <w:szCs w:val="18"/>
        </w:rPr>
        <w:t>identifikuara.</w:t>
      </w:r>
    </w:p>
    <w:p w14:paraId="21A44778">
      <w:pPr>
        <w:tabs>
          <w:tab w:val="left" w:pos="900"/>
        </w:tabs>
        <w:spacing w:after="120"/>
        <w:rPr>
          <w:rFonts w:ascii="Arial" w:hAnsi="Arial" w:cs="Arial"/>
          <w:b/>
          <w:sz w:val="18"/>
          <w:szCs w:val="18"/>
        </w:rPr>
      </w:pPr>
      <w:r>
        <w:rPr>
          <w:rFonts w:ascii="Arial" w:hAnsi="Arial" w:cs="Arial"/>
          <w:b/>
          <w:sz w:val="18"/>
          <w:szCs w:val="18"/>
        </w:rPr>
        <w:t>Neni 12</w:t>
      </w:r>
      <w:r>
        <w:rPr>
          <w:rFonts w:ascii="Arial" w:hAnsi="Arial" w:cs="Arial"/>
          <w:b/>
          <w:sz w:val="18"/>
          <w:szCs w:val="18"/>
        </w:rPr>
        <w:tab/>
      </w:r>
      <w:r>
        <w:rPr>
          <w:rFonts w:ascii="Arial" w:hAnsi="Arial" w:cs="Arial"/>
          <w:b/>
          <w:sz w:val="18"/>
          <w:szCs w:val="18"/>
        </w:rPr>
        <w:tab/>
      </w:r>
      <w:r>
        <w:rPr>
          <w:rFonts w:ascii="Arial" w:hAnsi="Arial" w:cs="Arial"/>
          <w:b/>
          <w:sz w:val="18"/>
          <w:szCs w:val="18"/>
        </w:rPr>
        <w:t>Obligimet e Autoriteti Kontraktues</w:t>
      </w:r>
    </w:p>
    <w:p w14:paraId="36567892">
      <w:pPr>
        <w:autoSpaceDE w:val="0"/>
        <w:autoSpaceDN w:val="0"/>
        <w:adjustRightInd w:val="0"/>
        <w:spacing w:after="120"/>
        <w:rPr>
          <w:rFonts w:ascii="Arial" w:hAnsi="Arial" w:cs="Arial"/>
          <w:sz w:val="18"/>
          <w:szCs w:val="18"/>
          <w:lang w:eastAsia="en-US"/>
        </w:rPr>
      </w:pPr>
      <w:r>
        <w:rPr>
          <w:rFonts w:ascii="Arial" w:hAnsi="Arial" w:cs="Arial"/>
          <w:sz w:val="18"/>
          <w:szCs w:val="18"/>
        </w:rPr>
        <w:t>12</w:t>
      </w:r>
      <w:r>
        <w:rPr>
          <w:rFonts w:ascii="Arial" w:hAnsi="Arial" w:cs="Arial"/>
          <w:sz w:val="18"/>
          <w:szCs w:val="18"/>
          <w:lang w:eastAsia="en-US"/>
        </w:rPr>
        <w:t xml:space="preserve">.1 </w:t>
      </w:r>
      <w:r>
        <w:rPr>
          <w:rStyle w:val="126"/>
          <w:rFonts w:ascii="Arial" w:hAnsi="Arial" w:cs="Arial"/>
          <w:color w:val="000000"/>
          <w:sz w:val="18"/>
          <w:szCs w:val="18"/>
        </w:rPr>
        <w:t>Autoriteti kontraktues do t’i</w:t>
      </w:r>
      <w:r>
        <w:rPr>
          <w:rFonts w:ascii="Arial" w:hAnsi="Arial" w:cs="Arial"/>
          <w:color w:val="000000"/>
          <w:sz w:val="18"/>
          <w:szCs w:val="18"/>
        </w:rPr>
        <w:t xml:space="preserve"> </w:t>
      </w:r>
      <w:r>
        <w:rPr>
          <w:rStyle w:val="126"/>
          <w:rFonts w:ascii="Arial" w:hAnsi="Arial" w:cs="Arial"/>
          <w:color w:val="000000"/>
          <w:sz w:val="18"/>
          <w:szCs w:val="18"/>
        </w:rPr>
        <w:t>ofrojë</w:t>
      </w:r>
      <w:r>
        <w:rPr>
          <w:rFonts w:ascii="Arial" w:hAnsi="Arial" w:cs="Arial"/>
          <w:color w:val="000000"/>
          <w:sz w:val="18"/>
          <w:szCs w:val="18"/>
        </w:rPr>
        <w:t xml:space="preserve"> </w:t>
      </w:r>
      <w:r>
        <w:rPr>
          <w:rStyle w:val="126"/>
          <w:rFonts w:ascii="Arial" w:hAnsi="Arial" w:cs="Arial"/>
          <w:color w:val="000000"/>
          <w:sz w:val="18"/>
          <w:szCs w:val="18"/>
        </w:rPr>
        <w:t>ofruesit të shërbimeve</w:t>
      </w:r>
      <w:r>
        <w:rPr>
          <w:rFonts w:ascii="Arial" w:hAnsi="Arial" w:cs="Arial"/>
          <w:color w:val="000000"/>
          <w:sz w:val="18"/>
          <w:szCs w:val="18"/>
        </w:rPr>
        <w:t xml:space="preserve"> </w:t>
      </w:r>
      <w:r>
        <w:rPr>
          <w:rStyle w:val="126"/>
          <w:rFonts w:ascii="Arial" w:hAnsi="Arial" w:cs="Arial"/>
          <w:color w:val="000000"/>
          <w:sz w:val="18"/>
          <w:szCs w:val="18"/>
        </w:rPr>
        <w:t>menjëherë</w:t>
      </w:r>
      <w:r>
        <w:rPr>
          <w:rFonts w:ascii="Arial" w:hAnsi="Arial" w:cs="Arial"/>
          <w:color w:val="000000"/>
          <w:sz w:val="18"/>
          <w:szCs w:val="18"/>
        </w:rPr>
        <w:t xml:space="preserve"> </w:t>
      </w:r>
      <w:r>
        <w:rPr>
          <w:rStyle w:val="126"/>
          <w:rFonts w:ascii="Arial" w:hAnsi="Arial" w:cs="Arial"/>
          <w:color w:val="000000"/>
          <w:sz w:val="18"/>
          <w:szCs w:val="18"/>
        </w:rPr>
        <w:t>ndonjë</w:t>
      </w:r>
      <w:r>
        <w:rPr>
          <w:rFonts w:ascii="Arial" w:hAnsi="Arial" w:cs="Arial"/>
          <w:color w:val="000000"/>
          <w:sz w:val="18"/>
          <w:szCs w:val="18"/>
        </w:rPr>
        <w:t xml:space="preserve"> </w:t>
      </w:r>
      <w:r>
        <w:rPr>
          <w:rStyle w:val="126"/>
          <w:rFonts w:ascii="Arial" w:hAnsi="Arial" w:cs="Arial"/>
          <w:color w:val="000000"/>
          <w:sz w:val="18"/>
          <w:szCs w:val="18"/>
        </w:rPr>
        <w:t>informacion</w:t>
      </w:r>
      <w:r>
        <w:rPr>
          <w:rFonts w:ascii="Arial" w:hAnsi="Arial" w:cs="Arial"/>
          <w:color w:val="000000"/>
          <w:sz w:val="18"/>
          <w:szCs w:val="18"/>
        </w:rPr>
        <w:t xml:space="preserve"> </w:t>
      </w:r>
      <w:r>
        <w:rPr>
          <w:rStyle w:val="126"/>
          <w:rFonts w:ascii="Arial" w:hAnsi="Arial" w:cs="Arial"/>
          <w:color w:val="000000"/>
          <w:sz w:val="18"/>
          <w:szCs w:val="18"/>
        </w:rPr>
        <w:t>dhe/ose dokumentacion</w:t>
      </w:r>
      <w:r>
        <w:rPr>
          <w:rFonts w:ascii="Arial" w:hAnsi="Arial" w:cs="Arial"/>
          <w:color w:val="000000"/>
          <w:sz w:val="18"/>
          <w:szCs w:val="18"/>
        </w:rPr>
        <w:t xml:space="preserve"> </w:t>
      </w:r>
      <w:r>
        <w:rPr>
          <w:rStyle w:val="126"/>
          <w:rFonts w:ascii="Arial" w:hAnsi="Arial" w:cs="Arial"/>
          <w:color w:val="000000"/>
          <w:sz w:val="18"/>
          <w:szCs w:val="18"/>
        </w:rPr>
        <w:t>në</w:t>
      </w:r>
      <w:r>
        <w:rPr>
          <w:rFonts w:ascii="Arial" w:hAnsi="Arial" w:cs="Arial"/>
          <w:color w:val="000000"/>
          <w:sz w:val="18"/>
          <w:szCs w:val="18"/>
        </w:rPr>
        <w:t xml:space="preserve"> </w:t>
      </w:r>
      <w:r>
        <w:rPr>
          <w:rStyle w:val="126"/>
          <w:rFonts w:ascii="Arial" w:hAnsi="Arial" w:cs="Arial"/>
          <w:color w:val="000000"/>
          <w:sz w:val="18"/>
          <w:szCs w:val="18"/>
        </w:rPr>
        <w:t>dispozicion të</w:t>
      </w:r>
      <w:r>
        <w:rPr>
          <w:rFonts w:ascii="Arial" w:hAnsi="Arial" w:cs="Arial"/>
          <w:color w:val="000000"/>
          <w:sz w:val="18"/>
          <w:szCs w:val="18"/>
        </w:rPr>
        <w:t xml:space="preserve"> tij</w:t>
      </w:r>
      <w:r>
        <w:rPr>
          <w:rStyle w:val="126"/>
          <w:rFonts w:ascii="Arial" w:hAnsi="Arial" w:cs="Arial"/>
          <w:color w:val="000000"/>
          <w:sz w:val="18"/>
          <w:szCs w:val="18"/>
        </w:rPr>
        <w:t>, që mund të</w:t>
      </w:r>
      <w:r>
        <w:rPr>
          <w:rFonts w:ascii="Arial" w:hAnsi="Arial" w:cs="Arial"/>
          <w:color w:val="000000"/>
          <w:sz w:val="18"/>
          <w:szCs w:val="18"/>
        </w:rPr>
        <w:t xml:space="preserve"> </w:t>
      </w:r>
      <w:r>
        <w:rPr>
          <w:rStyle w:val="126"/>
          <w:rFonts w:ascii="Arial" w:hAnsi="Arial" w:cs="Arial"/>
          <w:color w:val="000000"/>
          <w:sz w:val="18"/>
          <w:szCs w:val="18"/>
        </w:rPr>
        <w:t>jenë</w:t>
      </w:r>
      <w:r>
        <w:rPr>
          <w:rFonts w:ascii="Arial" w:hAnsi="Arial" w:cs="Arial"/>
          <w:color w:val="000000"/>
          <w:sz w:val="18"/>
          <w:szCs w:val="18"/>
        </w:rPr>
        <w:t xml:space="preserve"> </w:t>
      </w:r>
      <w:r>
        <w:rPr>
          <w:rStyle w:val="126"/>
          <w:rFonts w:ascii="Arial" w:hAnsi="Arial" w:cs="Arial"/>
          <w:color w:val="000000"/>
          <w:sz w:val="18"/>
          <w:szCs w:val="18"/>
        </w:rPr>
        <w:t>relevante</w:t>
      </w:r>
      <w:r>
        <w:rPr>
          <w:rFonts w:ascii="Arial" w:hAnsi="Arial" w:cs="Arial"/>
          <w:color w:val="000000"/>
          <w:sz w:val="18"/>
          <w:szCs w:val="18"/>
        </w:rPr>
        <w:t xml:space="preserve"> </w:t>
      </w:r>
      <w:r>
        <w:rPr>
          <w:rStyle w:val="126"/>
          <w:rFonts w:ascii="Arial" w:hAnsi="Arial" w:cs="Arial"/>
          <w:color w:val="000000"/>
          <w:sz w:val="18"/>
          <w:szCs w:val="18"/>
        </w:rPr>
        <w:t>për</w:t>
      </w:r>
      <w:r>
        <w:rPr>
          <w:rFonts w:ascii="Arial" w:hAnsi="Arial" w:cs="Arial"/>
          <w:color w:val="000000"/>
          <w:sz w:val="18"/>
          <w:szCs w:val="18"/>
        </w:rPr>
        <w:t xml:space="preserve"> </w:t>
      </w:r>
      <w:r>
        <w:rPr>
          <w:rStyle w:val="126"/>
          <w:rFonts w:ascii="Arial" w:hAnsi="Arial" w:cs="Arial"/>
          <w:color w:val="000000"/>
          <w:sz w:val="18"/>
          <w:szCs w:val="18"/>
        </w:rPr>
        <w:t>zbatimin e kontratës</w:t>
      </w:r>
      <w:r>
        <w:rPr>
          <w:rFonts w:ascii="Arial" w:hAnsi="Arial" w:cs="Arial"/>
          <w:color w:val="000000"/>
          <w:sz w:val="18"/>
          <w:szCs w:val="18"/>
        </w:rPr>
        <w:t xml:space="preserve">. </w:t>
      </w:r>
      <w:r>
        <w:rPr>
          <w:rStyle w:val="126"/>
          <w:rFonts w:ascii="Arial" w:hAnsi="Arial" w:cs="Arial"/>
          <w:color w:val="000000"/>
          <w:sz w:val="18"/>
          <w:szCs w:val="18"/>
        </w:rPr>
        <w:t>Dokumente të tilla</w:t>
      </w:r>
      <w:r>
        <w:rPr>
          <w:rFonts w:ascii="Arial" w:hAnsi="Arial" w:cs="Arial"/>
          <w:color w:val="000000"/>
          <w:sz w:val="18"/>
          <w:szCs w:val="18"/>
        </w:rPr>
        <w:t xml:space="preserve"> </w:t>
      </w:r>
      <w:r>
        <w:rPr>
          <w:rStyle w:val="126"/>
          <w:rFonts w:ascii="Arial" w:hAnsi="Arial" w:cs="Arial"/>
          <w:color w:val="000000"/>
          <w:sz w:val="18"/>
          <w:szCs w:val="18"/>
        </w:rPr>
        <w:t>do t’i</w:t>
      </w:r>
      <w:r>
        <w:rPr>
          <w:rFonts w:ascii="Arial" w:hAnsi="Arial" w:cs="Arial"/>
          <w:color w:val="000000"/>
          <w:sz w:val="18"/>
          <w:szCs w:val="18"/>
        </w:rPr>
        <w:t xml:space="preserve"> </w:t>
      </w:r>
      <w:r>
        <w:rPr>
          <w:rStyle w:val="126"/>
          <w:rFonts w:ascii="Arial" w:hAnsi="Arial" w:cs="Arial"/>
          <w:color w:val="000000"/>
          <w:sz w:val="18"/>
          <w:szCs w:val="18"/>
        </w:rPr>
        <w:t>kthehen</w:t>
      </w:r>
      <w:r>
        <w:rPr>
          <w:rFonts w:ascii="Arial" w:hAnsi="Arial" w:cs="Arial"/>
          <w:color w:val="000000"/>
          <w:sz w:val="18"/>
          <w:szCs w:val="18"/>
        </w:rPr>
        <w:t xml:space="preserve"> </w:t>
      </w:r>
      <w:r>
        <w:rPr>
          <w:rStyle w:val="126"/>
          <w:rFonts w:ascii="Arial" w:hAnsi="Arial" w:cs="Arial"/>
          <w:color w:val="000000"/>
          <w:sz w:val="18"/>
          <w:szCs w:val="18"/>
        </w:rPr>
        <w:t>Autoritetit</w:t>
      </w:r>
      <w:r>
        <w:rPr>
          <w:rFonts w:ascii="Arial" w:hAnsi="Arial" w:cs="Arial"/>
          <w:color w:val="000000"/>
          <w:sz w:val="18"/>
          <w:szCs w:val="18"/>
        </w:rPr>
        <w:t xml:space="preserve"> </w:t>
      </w:r>
      <w:r>
        <w:rPr>
          <w:rStyle w:val="126"/>
          <w:rFonts w:ascii="Arial" w:hAnsi="Arial" w:cs="Arial"/>
          <w:color w:val="000000"/>
          <w:sz w:val="18"/>
          <w:szCs w:val="18"/>
        </w:rPr>
        <w:t>Kontraktues</w:t>
      </w:r>
      <w:r>
        <w:rPr>
          <w:rFonts w:ascii="Arial" w:hAnsi="Arial" w:cs="Arial"/>
          <w:color w:val="000000"/>
          <w:sz w:val="18"/>
          <w:szCs w:val="18"/>
        </w:rPr>
        <w:t xml:space="preserve"> </w:t>
      </w:r>
      <w:r>
        <w:rPr>
          <w:rStyle w:val="126"/>
          <w:rFonts w:ascii="Arial" w:hAnsi="Arial" w:cs="Arial"/>
          <w:color w:val="000000"/>
          <w:sz w:val="18"/>
          <w:szCs w:val="18"/>
        </w:rPr>
        <w:t>në</w:t>
      </w:r>
      <w:r>
        <w:rPr>
          <w:rFonts w:ascii="Arial" w:hAnsi="Arial" w:cs="Arial"/>
          <w:color w:val="000000"/>
          <w:sz w:val="18"/>
          <w:szCs w:val="18"/>
        </w:rPr>
        <w:t xml:space="preserve"> </w:t>
      </w:r>
      <w:r>
        <w:rPr>
          <w:rStyle w:val="126"/>
          <w:rFonts w:ascii="Arial" w:hAnsi="Arial" w:cs="Arial"/>
          <w:color w:val="000000"/>
          <w:sz w:val="18"/>
          <w:szCs w:val="18"/>
        </w:rPr>
        <w:t>fund</w:t>
      </w:r>
      <w:r>
        <w:rPr>
          <w:rFonts w:ascii="Arial" w:hAnsi="Arial" w:cs="Arial"/>
          <w:color w:val="000000"/>
          <w:sz w:val="18"/>
          <w:szCs w:val="18"/>
        </w:rPr>
        <w:t xml:space="preserve"> </w:t>
      </w:r>
      <w:r>
        <w:rPr>
          <w:rStyle w:val="126"/>
          <w:rFonts w:ascii="Arial" w:hAnsi="Arial" w:cs="Arial"/>
          <w:color w:val="000000"/>
          <w:sz w:val="18"/>
          <w:szCs w:val="18"/>
        </w:rPr>
        <w:t>të</w:t>
      </w:r>
      <w:r>
        <w:rPr>
          <w:rFonts w:ascii="Arial" w:hAnsi="Arial" w:cs="Arial"/>
          <w:color w:val="000000"/>
          <w:sz w:val="18"/>
          <w:szCs w:val="18"/>
        </w:rPr>
        <w:t xml:space="preserve"> </w:t>
      </w:r>
      <w:r>
        <w:rPr>
          <w:rStyle w:val="126"/>
          <w:rFonts w:ascii="Arial" w:hAnsi="Arial" w:cs="Arial"/>
          <w:color w:val="000000"/>
          <w:sz w:val="18"/>
          <w:szCs w:val="18"/>
        </w:rPr>
        <w:t>periudhës</w:t>
      </w:r>
      <w:r>
        <w:rPr>
          <w:rFonts w:ascii="Arial" w:hAnsi="Arial" w:cs="Arial"/>
          <w:color w:val="000000"/>
          <w:sz w:val="18"/>
          <w:szCs w:val="18"/>
        </w:rPr>
        <w:t xml:space="preserve"> </w:t>
      </w:r>
      <w:r>
        <w:rPr>
          <w:rStyle w:val="126"/>
          <w:rFonts w:ascii="Arial" w:hAnsi="Arial" w:cs="Arial"/>
          <w:color w:val="000000"/>
          <w:sz w:val="18"/>
          <w:szCs w:val="18"/>
        </w:rPr>
        <w:t>së</w:t>
      </w:r>
      <w:r>
        <w:rPr>
          <w:rFonts w:ascii="Arial" w:hAnsi="Arial" w:cs="Arial"/>
          <w:color w:val="000000"/>
          <w:sz w:val="18"/>
          <w:szCs w:val="18"/>
        </w:rPr>
        <w:t xml:space="preserve"> </w:t>
      </w:r>
      <w:r>
        <w:rPr>
          <w:rStyle w:val="126"/>
          <w:rFonts w:ascii="Arial" w:hAnsi="Arial" w:cs="Arial"/>
          <w:color w:val="000000"/>
          <w:sz w:val="18"/>
          <w:szCs w:val="18"/>
        </w:rPr>
        <w:t>zbatimit të</w:t>
      </w:r>
      <w:r>
        <w:rPr>
          <w:rFonts w:ascii="Arial" w:hAnsi="Arial" w:cs="Arial"/>
          <w:color w:val="000000"/>
          <w:sz w:val="18"/>
          <w:szCs w:val="18"/>
        </w:rPr>
        <w:t xml:space="preserve"> </w:t>
      </w:r>
      <w:r>
        <w:rPr>
          <w:rStyle w:val="126"/>
          <w:rFonts w:ascii="Arial" w:hAnsi="Arial" w:cs="Arial"/>
          <w:color w:val="000000"/>
          <w:sz w:val="18"/>
          <w:szCs w:val="18"/>
        </w:rPr>
        <w:t>detyrave</w:t>
      </w:r>
      <w:r>
        <w:rPr>
          <w:rFonts w:ascii="Arial" w:hAnsi="Arial" w:cs="Arial"/>
          <w:sz w:val="18"/>
          <w:szCs w:val="18"/>
          <w:lang w:eastAsia="en-US"/>
        </w:rPr>
        <w:t>.</w:t>
      </w:r>
    </w:p>
    <w:p w14:paraId="2E5C58CC">
      <w:pPr>
        <w:autoSpaceDE w:val="0"/>
        <w:autoSpaceDN w:val="0"/>
        <w:adjustRightInd w:val="0"/>
        <w:spacing w:after="0"/>
        <w:rPr>
          <w:rFonts w:ascii="Arial" w:hAnsi="Arial" w:cs="Arial"/>
          <w:sz w:val="18"/>
          <w:szCs w:val="18"/>
          <w:lang w:eastAsia="en-US"/>
        </w:rPr>
      </w:pPr>
      <w:r>
        <w:rPr>
          <w:rFonts w:ascii="Arial" w:hAnsi="Arial" w:cs="Arial"/>
          <w:sz w:val="18"/>
          <w:szCs w:val="18"/>
        </w:rPr>
        <w:t>12</w:t>
      </w:r>
      <w:r>
        <w:rPr>
          <w:rFonts w:ascii="Arial" w:hAnsi="Arial" w:cs="Arial"/>
          <w:sz w:val="18"/>
          <w:szCs w:val="18"/>
          <w:lang w:eastAsia="en-US"/>
        </w:rPr>
        <w:t>.2 Autoriteti Kontraktues do të bashkëpunoj sa më shumë që është e mundur me Ofruesin e Shërbimeve për t’i siguruar informacione që ky i fundit mund t’i kërkoj në mënyrë të arsyeshme për kryerjen e kontratës.</w:t>
      </w:r>
    </w:p>
    <w:p w14:paraId="27C76932">
      <w:pPr>
        <w:autoSpaceDE w:val="0"/>
        <w:autoSpaceDN w:val="0"/>
        <w:adjustRightInd w:val="0"/>
        <w:spacing w:after="0"/>
        <w:rPr>
          <w:rFonts w:ascii="Arial" w:hAnsi="Arial" w:cs="Arial"/>
          <w:sz w:val="18"/>
          <w:szCs w:val="18"/>
          <w:lang w:eastAsia="en-US"/>
        </w:rPr>
      </w:pPr>
    </w:p>
    <w:p w14:paraId="281B69E6">
      <w:pPr>
        <w:tabs>
          <w:tab w:val="left" w:pos="993"/>
        </w:tabs>
        <w:rPr>
          <w:rFonts w:ascii="Arial" w:hAnsi="Arial" w:cs="Arial"/>
          <w:sz w:val="20"/>
        </w:rPr>
      </w:pPr>
      <w:r>
        <w:rPr>
          <w:rFonts w:ascii="Arial" w:hAnsi="Arial" w:cs="Arial"/>
          <w:sz w:val="18"/>
          <w:szCs w:val="18"/>
        </w:rPr>
        <w:t>12.3 Autoriteti Kontraktues do të caktoj “</w:t>
      </w:r>
      <w:r>
        <w:rPr>
          <w:rFonts w:ascii="Arial" w:hAnsi="Arial" w:cs="Arial"/>
          <w:i/>
          <w:sz w:val="18"/>
          <w:szCs w:val="18"/>
        </w:rPr>
        <w:t>Menaxherin e Projektit</w:t>
      </w:r>
      <w:r>
        <w:rPr>
          <w:rFonts w:ascii="Arial" w:hAnsi="Arial" w:cs="Arial"/>
          <w:sz w:val="18"/>
          <w:szCs w:val="18"/>
        </w:rPr>
        <w:t>”, i cekur në KVK, i cili do të jetë përgjegjës për mbikëqyrjen e kryerjes së shërbimeve gjatë gjithë kohës dhe për raportimin e çdo hollësie Autoritetit Kontraktues.</w:t>
      </w:r>
    </w:p>
    <w:p w14:paraId="3EBA6203">
      <w:pPr>
        <w:spacing w:after="120"/>
        <w:rPr>
          <w:rFonts w:ascii="Arial" w:hAnsi="Arial" w:cs="Arial"/>
          <w:b/>
          <w:sz w:val="18"/>
          <w:szCs w:val="18"/>
        </w:rPr>
      </w:pPr>
      <w:r>
        <w:rPr>
          <w:rFonts w:ascii="Arial" w:hAnsi="Arial" w:cs="Arial"/>
          <w:b/>
          <w:sz w:val="18"/>
          <w:szCs w:val="18"/>
        </w:rPr>
        <w:t>Neni 13</w:t>
      </w:r>
      <w:r>
        <w:rPr>
          <w:rFonts w:ascii="Arial" w:hAnsi="Arial" w:cs="Arial"/>
          <w:b/>
          <w:sz w:val="18"/>
          <w:szCs w:val="18"/>
        </w:rPr>
        <w:tab/>
      </w:r>
      <w:r>
        <w:rPr>
          <w:rFonts w:ascii="Arial" w:hAnsi="Arial" w:cs="Arial"/>
          <w:b/>
          <w:sz w:val="18"/>
          <w:szCs w:val="18"/>
        </w:rPr>
        <w:t xml:space="preserve">               </w:t>
      </w:r>
      <w:r>
        <w:rPr>
          <w:rFonts w:ascii="Arial" w:hAnsi="Arial" w:cs="Arial"/>
          <w:b/>
          <w:sz w:val="20"/>
        </w:rPr>
        <w:t xml:space="preserve">Dëmet e likuiduara </w:t>
      </w:r>
    </w:p>
    <w:p w14:paraId="0F4EF58B">
      <w:pPr>
        <w:tabs>
          <w:tab w:val="left" w:pos="-1440"/>
          <w:tab w:val="left" w:pos="-720"/>
          <w:tab w:val="left" w:pos="0"/>
          <w:tab w:val="left" w:pos="533"/>
          <w:tab w:val="left" w:pos="1062"/>
          <w:tab w:val="left" w:pos="1667"/>
          <w:tab w:val="left" w:pos="2272"/>
          <w:tab w:val="left" w:pos="2570"/>
          <w:tab w:val="left" w:pos="3175"/>
        </w:tabs>
        <w:suppressAutoHyphens/>
        <w:rPr>
          <w:rFonts w:ascii="Arial" w:hAnsi="Arial" w:cs="Arial"/>
          <w:sz w:val="20"/>
        </w:rPr>
      </w:pPr>
      <w:r>
        <w:rPr>
          <w:rFonts w:ascii="Arial" w:hAnsi="Arial" w:cs="Arial"/>
          <w:sz w:val="18"/>
          <w:szCs w:val="18"/>
        </w:rPr>
        <w:t>13.1 Ofruesi i Shërbimeve do të paguaj dëmet e likuiduara Autoritetit Kontraktues në normën ditore të cekur në KVK për çdo ditë që Data e Përfundimit është me vonë se Data e Kërkuar e Përfundimit. Shuma totale e dëmeve të likuiduara nuk duhet të tejkaloj shumën e përcaktuar në KVK. Autoriteti Kontraktues mund të zbres dëmet e likuiduara nga pagesat për shkak të Ofruesit të Shërbimeve. Pagesa e dëmeve të likuiduara nuk do të ndikoj në detyrimet e Ofruesit të Shërbimeve.</w:t>
      </w:r>
    </w:p>
    <w:p w14:paraId="632E90EA">
      <w:pPr>
        <w:tabs>
          <w:tab w:val="left" w:pos="993"/>
        </w:tabs>
        <w:rPr>
          <w:rFonts w:ascii="Arial" w:hAnsi="Arial" w:cs="Arial"/>
          <w:color w:val="000000"/>
          <w:sz w:val="18"/>
          <w:szCs w:val="18"/>
        </w:rPr>
      </w:pPr>
      <w:r>
        <w:rPr>
          <w:rFonts w:ascii="Arial" w:hAnsi="Arial" w:cs="Arial"/>
          <w:sz w:val="18"/>
          <w:szCs w:val="18"/>
        </w:rPr>
        <w:t xml:space="preserve">13.2 </w:t>
      </w:r>
      <w:r>
        <w:rPr>
          <w:rStyle w:val="126"/>
          <w:rFonts w:ascii="Arial" w:hAnsi="Arial" w:cs="Arial"/>
          <w:color w:val="000000"/>
          <w:sz w:val="18"/>
          <w:szCs w:val="18"/>
        </w:rPr>
        <w:t>Nëse</w:t>
      </w:r>
      <w:r>
        <w:rPr>
          <w:rFonts w:ascii="Arial" w:hAnsi="Arial" w:cs="Arial"/>
          <w:color w:val="000000"/>
          <w:sz w:val="18"/>
          <w:szCs w:val="18"/>
        </w:rPr>
        <w:t xml:space="preserve"> </w:t>
      </w:r>
      <w:r>
        <w:rPr>
          <w:rStyle w:val="126"/>
          <w:rFonts w:ascii="Arial" w:hAnsi="Arial" w:cs="Arial"/>
          <w:color w:val="000000"/>
          <w:sz w:val="18"/>
          <w:szCs w:val="18"/>
        </w:rPr>
        <w:t>Data</w:t>
      </w:r>
      <w:r>
        <w:rPr>
          <w:rFonts w:ascii="Arial" w:hAnsi="Arial" w:cs="Arial"/>
          <w:color w:val="000000"/>
          <w:sz w:val="18"/>
          <w:szCs w:val="18"/>
        </w:rPr>
        <w:t xml:space="preserve"> </w:t>
      </w:r>
      <w:r>
        <w:rPr>
          <w:rStyle w:val="126"/>
          <w:rFonts w:ascii="Arial" w:hAnsi="Arial" w:cs="Arial"/>
          <w:color w:val="000000"/>
          <w:sz w:val="18"/>
          <w:szCs w:val="18"/>
        </w:rPr>
        <w:t>e përfundimit</w:t>
      </w:r>
      <w:r>
        <w:rPr>
          <w:rFonts w:ascii="Arial" w:hAnsi="Arial" w:cs="Arial"/>
          <w:color w:val="000000"/>
          <w:sz w:val="18"/>
          <w:szCs w:val="18"/>
        </w:rPr>
        <w:t xml:space="preserve"> </w:t>
      </w:r>
      <w:r>
        <w:rPr>
          <w:rStyle w:val="126"/>
          <w:rFonts w:ascii="Arial" w:hAnsi="Arial" w:cs="Arial"/>
          <w:color w:val="000000"/>
          <w:sz w:val="18"/>
          <w:szCs w:val="18"/>
        </w:rPr>
        <w:t>është zgjatur pasi që</w:t>
      </w:r>
      <w:r>
        <w:rPr>
          <w:rFonts w:ascii="Arial" w:hAnsi="Arial" w:cs="Arial"/>
          <w:color w:val="000000"/>
          <w:sz w:val="18"/>
          <w:szCs w:val="18"/>
        </w:rPr>
        <w:t xml:space="preserve"> </w:t>
      </w:r>
      <w:r>
        <w:rPr>
          <w:rStyle w:val="126"/>
          <w:rFonts w:ascii="Arial" w:hAnsi="Arial" w:cs="Arial"/>
          <w:color w:val="000000"/>
          <w:sz w:val="18"/>
          <w:szCs w:val="18"/>
        </w:rPr>
        <w:t>janë</w:t>
      </w:r>
      <w:r>
        <w:rPr>
          <w:rFonts w:ascii="Arial" w:hAnsi="Arial" w:cs="Arial"/>
          <w:color w:val="000000"/>
          <w:sz w:val="18"/>
          <w:szCs w:val="18"/>
        </w:rPr>
        <w:t xml:space="preserve"> </w:t>
      </w:r>
      <w:r>
        <w:rPr>
          <w:rStyle w:val="126"/>
          <w:rFonts w:ascii="Arial" w:hAnsi="Arial" w:cs="Arial"/>
          <w:color w:val="000000"/>
          <w:sz w:val="18"/>
          <w:szCs w:val="18"/>
        </w:rPr>
        <w:t>paguar dëmet</w:t>
      </w:r>
      <w:r>
        <w:rPr>
          <w:rFonts w:ascii="Arial" w:hAnsi="Arial" w:cs="Arial"/>
          <w:color w:val="000000"/>
          <w:sz w:val="18"/>
          <w:szCs w:val="18"/>
        </w:rPr>
        <w:t xml:space="preserve"> </w:t>
      </w:r>
      <w:r>
        <w:rPr>
          <w:rStyle w:val="126"/>
          <w:rFonts w:ascii="Arial" w:hAnsi="Arial" w:cs="Arial"/>
          <w:color w:val="000000"/>
          <w:sz w:val="18"/>
          <w:szCs w:val="18"/>
        </w:rPr>
        <w:t>e likuiduara</w:t>
      </w:r>
      <w:r>
        <w:rPr>
          <w:rFonts w:ascii="Arial" w:hAnsi="Arial" w:cs="Arial"/>
          <w:color w:val="000000"/>
          <w:sz w:val="18"/>
          <w:szCs w:val="18"/>
        </w:rPr>
        <w:t xml:space="preserve">, </w:t>
      </w:r>
      <w:r>
        <w:rPr>
          <w:rStyle w:val="126"/>
          <w:rFonts w:ascii="Arial" w:hAnsi="Arial" w:cs="Arial"/>
          <w:color w:val="000000"/>
          <w:sz w:val="18"/>
          <w:szCs w:val="18"/>
        </w:rPr>
        <w:t>Autoriteti kontraktues</w:t>
      </w:r>
      <w:r>
        <w:rPr>
          <w:rFonts w:ascii="Arial" w:hAnsi="Arial" w:cs="Arial"/>
          <w:color w:val="000000"/>
          <w:sz w:val="18"/>
          <w:szCs w:val="18"/>
        </w:rPr>
        <w:t xml:space="preserve"> </w:t>
      </w:r>
      <w:r>
        <w:rPr>
          <w:rStyle w:val="126"/>
          <w:rFonts w:ascii="Arial" w:hAnsi="Arial" w:cs="Arial"/>
          <w:color w:val="000000"/>
          <w:sz w:val="18"/>
          <w:szCs w:val="18"/>
        </w:rPr>
        <w:t>do të përmirësojë</w:t>
      </w:r>
      <w:r>
        <w:rPr>
          <w:rFonts w:ascii="Arial" w:hAnsi="Arial" w:cs="Arial"/>
          <w:color w:val="000000"/>
          <w:sz w:val="18"/>
          <w:szCs w:val="18"/>
        </w:rPr>
        <w:t xml:space="preserve"> </w:t>
      </w:r>
      <w:r>
        <w:rPr>
          <w:rStyle w:val="126"/>
          <w:rFonts w:ascii="Arial" w:hAnsi="Arial" w:cs="Arial"/>
          <w:color w:val="000000"/>
          <w:sz w:val="18"/>
          <w:szCs w:val="18"/>
        </w:rPr>
        <w:t>çdo</w:t>
      </w:r>
      <w:r>
        <w:rPr>
          <w:rFonts w:ascii="Arial" w:hAnsi="Arial" w:cs="Arial"/>
          <w:color w:val="000000"/>
          <w:sz w:val="18"/>
          <w:szCs w:val="18"/>
        </w:rPr>
        <w:t xml:space="preserve"> </w:t>
      </w:r>
      <w:r>
        <w:rPr>
          <w:rStyle w:val="126"/>
          <w:rFonts w:ascii="Arial" w:hAnsi="Arial" w:cs="Arial"/>
          <w:color w:val="000000"/>
          <w:sz w:val="18"/>
          <w:szCs w:val="18"/>
        </w:rPr>
        <w:t>pagesë të tepërt të</w:t>
      </w:r>
      <w:r>
        <w:rPr>
          <w:rFonts w:ascii="Arial" w:hAnsi="Arial" w:cs="Arial"/>
          <w:color w:val="000000"/>
          <w:sz w:val="18"/>
          <w:szCs w:val="18"/>
        </w:rPr>
        <w:t xml:space="preserve"> </w:t>
      </w:r>
      <w:r>
        <w:rPr>
          <w:rStyle w:val="126"/>
          <w:rFonts w:ascii="Arial" w:hAnsi="Arial" w:cs="Arial"/>
          <w:color w:val="000000"/>
          <w:sz w:val="18"/>
          <w:szCs w:val="18"/>
        </w:rPr>
        <w:t>dëmeve të</w:t>
      </w:r>
      <w:r>
        <w:rPr>
          <w:rFonts w:ascii="Arial" w:hAnsi="Arial" w:cs="Arial"/>
          <w:color w:val="000000"/>
          <w:sz w:val="18"/>
          <w:szCs w:val="18"/>
        </w:rPr>
        <w:t xml:space="preserve"> </w:t>
      </w:r>
      <w:r>
        <w:rPr>
          <w:rStyle w:val="126"/>
          <w:rFonts w:ascii="Arial" w:hAnsi="Arial" w:cs="Arial"/>
          <w:color w:val="000000"/>
          <w:sz w:val="18"/>
          <w:szCs w:val="18"/>
        </w:rPr>
        <w:t>likuiduara</w:t>
      </w:r>
      <w:r>
        <w:rPr>
          <w:rFonts w:ascii="Arial" w:hAnsi="Arial" w:cs="Arial"/>
          <w:color w:val="000000"/>
          <w:sz w:val="18"/>
          <w:szCs w:val="18"/>
        </w:rPr>
        <w:t xml:space="preserve"> </w:t>
      </w:r>
      <w:r>
        <w:rPr>
          <w:rStyle w:val="126"/>
          <w:rFonts w:ascii="Arial" w:hAnsi="Arial" w:cs="Arial"/>
          <w:color w:val="000000"/>
          <w:sz w:val="18"/>
          <w:szCs w:val="18"/>
        </w:rPr>
        <w:t>nga</w:t>
      </w:r>
      <w:r>
        <w:rPr>
          <w:rFonts w:ascii="Arial" w:hAnsi="Arial" w:cs="Arial"/>
          <w:color w:val="000000"/>
          <w:sz w:val="18"/>
          <w:szCs w:val="18"/>
        </w:rPr>
        <w:t xml:space="preserve"> </w:t>
      </w:r>
      <w:r>
        <w:rPr>
          <w:rStyle w:val="126"/>
          <w:rFonts w:ascii="Arial" w:hAnsi="Arial" w:cs="Arial"/>
          <w:color w:val="000000"/>
          <w:sz w:val="18"/>
          <w:szCs w:val="18"/>
        </w:rPr>
        <w:t>ofruesi i shërbimit</w:t>
      </w:r>
      <w:r>
        <w:rPr>
          <w:rFonts w:ascii="Arial" w:hAnsi="Arial" w:cs="Arial"/>
          <w:color w:val="000000"/>
          <w:sz w:val="18"/>
          <w:szCs w:val="18"/>
        </w:rPr>
        <w:t xml:space="preserve">, duke rregulluar </w:t>
      </w:r>
      <w:r>
        <w:rPr>
          <w:rStyle w:val="126"/>
          <w:rFonts w:ascii="Arial" w:hAnsi="Arial" w:cs="Arial"/>
          <w:color w:val="000000"/>
          <w:sz w:val="18"/>
          <w:szCs w:val="18"/>
        </w:rPr>
        <w:t>certifikatën</w:t>
      </w:r>
      <w:r>
        <w:rPr>
          <w:rFonts w:ascii="Arial" w:hAnsi="Arial" w:cs="Arial"/>
          <w:color w:val="000000"/>
          <w:sz w:val="18"/>
          <w:szCs w:val="18"/>
        </w:rPr>
        <w:t xml:space="preserve"> </w:t>
      </w:r>
      <w:r>
        <w:rPr>
          <w:rStyle w:val="126"/>
          <w:rFonts w:ascii="Arial" w:hAnsi="Arial" w:cs="Arial"/>
          <w:color w:val="000000"/>
          <w:sz w:val="18"/>
          <w:szCs w:val="18"/>
        </w:rPr>
        <w:t>e ardhshme</w:t>
      </w:r>
      <w:r>
        <w:rPr>
          <w:rFonts w:ascii="Arial" w:hAnsi="Arial" w:cs="Arial"/>
          <w:color w:val="000000"/>
          <w:sz w:val="18"/>
          <w:szCs w:val="18"/>
        </w:rPr>
        <w:t xml:space="preserve"> t</w:t>
      </w:r>
      <w:r>
        <w:rPr>
          <w:rStyle w:val="126"/>
          <w:rFonts w:ascii="Arial" w:hAnsi="Arial" w:cs="Arial"/>
          <w:color w:val="000000"/>
          <w:sz w:val="18"/>
          <w:szCs w:val="18"/>
        </w:rPr>
        <w:t>ë pagesës</w:t>
      </w:r>
      <w:r>
        <w:rPr>
          <w:rFonts w:ascii="Arial" w:hAnsi="Arial" w:cs="Arial"/>
          <w:sz w:val="18"/>
          <w:szCs w:val="18"/>
        </w:rPr>
        <w:t>.</w:t>
      </w:r>
    </w:p>
    <w:p w14:paraId="0C7A3C6C">
      <w:pPr>
        <w:tabs>
          <w:tab w:val="left" w:pos="615"/>
          <w:tab w:val="left" w:pos="5130"/>
          <w:tab w:val="right" w:pos="9885"/>
        </w:tabs>
        <w:ind w:left="567" w:hanging="567"/>
        <w:rPr>
          <w:rFonts w:ascii="Arial" w:hAnsi="Arial" w:cs="Arial"/>
          <w:b/>
          <w:sz w:val="18"/>
          <w:szCs w:val="18"/>
        </w:rPr>
      </w:pPr>
      <w:r>
        <w:rPr>
          <w:rFonts w:ascii="Arial" w:hAnsi="Arial" w:cs="Arial"/>
          <w:b/>
          <w:sz w:val="18"/>
          <w:szCs w:val="18"/>
        </w:rPr>
        <w:t>Neni 14                  Siguria e ekzekutimit</w:t>
      </w:r>
    </w:p>
    <w:p w14:paraId="486CC5CA">
      <w:pPr>
        <w:tabs>
          <w:tab w:val="left" w:pos="615"/>
          <w:tab w:val="left" w:pos="5130"/>
          <w:tab w:val="right" w:pos="9885"/>
        </w:tabs>
        <w:rPr>
          <w:rFonts w:ascii="Arial" w:hAnsi="Arial" w:cs="Arial"/>
          <w:sz w:val="18"/>
          <w:szCs w:val="18"/>
        </w:rPr>
      </w:pPr>
      <w:r>
        <w:rPr>
          <w:rFonts w:ascii="Arial" w:hAnsi="Arial" w:cs="Arial"/>
          <w:sz w:val="18"/>
          <w:szCs w:val="18"/>
        </w:rPr>
        <w:t xml:space="preserve">14.1 Ofruesi i Shërbimeve do të, jo më vonë se dita e nënshkrimit të kontratës, furnizoj Autoritetin Kontraktues me siguri për ekzekutim të plotë dhe të mire të kontratës. Shuma e sigurisë do të saktësohet në KVK. Siguria e ekzekutimit do të ndalet nga pagesa e Autoritetit kontraktues për çfarëdo humbjeje që është pasojë e mosekzekutimit të plotë dhe të duhur të obligimeve kontraktore nga ana e Ofruesit të Shërbimeve. </w:t>
      </w:r>
    </w:p>
    <w:p w14:paraId="0FECA5F6">
      <w:pPr>
        <w:tabs>
          <w:tab w:val="left" w:pos="615"/>
          <w:tab w:val="left" w:pos="5130"/>
          <w:tab w:val="right" w:pos="9885"/>
        </w:tabs>
        <w:rPr>
          <w:rFonts w:ascii="Arial" w:hAnsi="Arial" w:cs="Arial"/>
          <w:sz w:val="18"/>
          <w:szCs w:val="18"/>
        </w:rPr>
      </w:pPr>
      <w:r>
        <w:rPr>
          <w:rFonts w:ascii="Arial" w:hAnsi="Arial" w:cs="Arial"/>
          <w:sz w:val="18"/>
          <w:szCs w:val="18"/>
        </w:rPr>
        <w:t>14.2 Siguria do të vazhdoj të jetë valide 30 ditë pas lëshimit të Certifikatës së Përfundimit.</w:t>
      </w:r>
    </w:p>
    <w:p w14:paraId="04A77E1A">
      <w:pPr>
        <w:widowControl w:val="0"/>
        <w:spacing w:after="0"/>
        <w:ind w:left="567" w:hanging="567"/>
        <w:rPr>
          <w:rFonts w:ascii="Arial" w:hAnsi="Arial" w:cs="Arial"/>
          <w:sz w:val="18"/>
          <w:szCs w:val="18"/>
        </w:rPr>
      </w:pPr>
      <w:r>
        <w:rPr>
          <w:rFonts w:ascii="Arial" w:hAnsi="Arial" w:cs="Arial"/>
          <w:sz w:val="18"/>
          <w:szCs w:val="18"/>
        </w:rPr>
        <w:t>14.3 Siguria e ekzekutimit të kontratës do të jetë në formën e dhënë në pjesën IV të kontratës.</w:t>
      </w:r>
    </w:p>
    <w:p w14:paraId="289D539C">
      <w:pPr>
        <w:widowControl w:val="0"/>
        <w:spacing w:after="0"/>
        <w:ind w:left="567" w:hanging="567"/>
        <w:rPr>
          <w:rFonts w:ascii="Arial" w:hAnsi="Arial" w:cs="Arial"/>
          <w:sz w:val="18"/>
          <w:szCs w:val="18"/>
        </w:rPr>
      </w:pPr>
    </w:p>
    <w:p w14:paraId="369D48EF">
      <w:pPr>
        <w:tabs>
          <w:tab w:val="left" w:pos="993"/>
        </w:tabs>
        <w:spacing w:after="0"/>
        <w:ind w:right="-54"/>
        <w:rPr>
          <w:rFonts w:ascii="Arial" w:hAnsi="Arial" w:cs="Arial"/>
          <w:b/>
          <w:sz w:val="18"/>
          <w:szCs w:val="18"/>
        </w:rPr>
      </w:pPr>
      <w:r>
        <w:rPr>
          <w:rFonts w:ascii="Arial" w:hAnsi="Arial" w:cs="Arial"/>
          <w:b/>
          <w:sz w:val="18"/>
          <w:szCs w:val="18"/>
        </w:rPr>
        <w:t xml:space="preserve">Neni 15 </w:t>
      </w:r>
      <w:r>
        <w:rPr>
          <w:rFonts w:ascii="Arial" w:hAnsi="Arial" w:cs="Arial"/>
          <w:b/>
          <w:sz w:val="18"/>
          <w:szCs w:val="18"/>
        </w:rPr>
        <w:tab/>
      </w:r>
      <w:r>
        <w:rPr>
          <w:rFonts w:ascii="Arial" w:hAnsi="Arial" w:cs="Arial"/>
          <w:b/>
          <w:sz w:val="18"/>
          <w:szCs w:val="18"/>
        </w:rPr>
        <w:tab/>
      </w:r>
      <w:r>
        <w:rPr>
          <w:rFonts w:ascii="Arial" w:hAnsi="Arial" w:cs="Arial"/>
          <w:b/>
          <w:sz w:val="18"/>
          <w:szCs w:val="18"/>
        </w:rPr>
        <w:t>Sigurimi që do të merret nga ofruesi i shërbimeve</w:t>
      </w:r>
    </w:p>
    <w:p w14:paraId="4B03DAAE">
      <w:pPr>
        <w:pStyle w:val="125"/>
        <w:ind w:left="0" w:firstLine="0"/>
        <w:jc w:val="both"/>
        <w:rPr>
          <w:rFonts w:ascii="Arial" w:hAnsi="Arial" w:cs="Arial"/>
          <w:sz w:val="18"/>
          <w:szCs w:val="18"/>
          <w:lang w:val="sq-AL"/>
        </w:rPr>
      </w:pPr>
    </w:p>
    <w:p w14:paraId="6DE92797">
      <w:pPr>
        <w:pStyle w:val="125"/>
        <w:spacing w:after="0"/>
        <w:ind w:left="0" w:firstLine="0"/>
        <w:jc w:val="both"/>
        <w:rPr>
          <w:rFonts w:ascii="Arial" w:hAnsi="Arial" w:cs="Arial"/>
          <w:sz w:val="18"/>
          <w:szCs w:val="18"/>
          <w:lang w:val="sq-AL"/>
        </w:rPr>
      </w:pPr>
      <w:r>
        <w:rPr>
          <w:rFonts w:ascii="Arial" w:hAnsi="Arial" w:cs="Arial"/>
          <w:sz w:val="18"/>
          <w:szCs w:val="18"/>
          <w:lang w:val="sq-AL"/>
        </w:rPr>
        <w:t>15.1 Ofruesi i Shërbimeve do të marr dhe do të ruaj, dhe do të shkaktoj Nënkontraktorët të marrin dhe ruajnë, me shpenzimet e tyre, por në bazë të kushteve të miratuara nga Autoriteti Kontraktues, sigurimin nga rreziqet, dhe për mbulim, siç do të specifikohet në KVK.</w:t>
      </w:r>
    </w:p>
    <w:p w14:paraId="24A0B8A7">
      <w:pPr>
        <w:pStyle w:val="125"/>
        <w:spacing w:after="0"/>
        <w:ind w:left="0" w:firstLine="0"/>
        <w:jc w:val="both"/>
        <w:rPr>
          <w:rFonts w:ascii="Arial" w:hAnsi="Arial" w:cs="Arial"/>
          <w:sz w:val="18"/>
          <w:szCs w:val="18"/>
          <w:lang w:val="sq-AL"/>
        </w:rPr>
      </w:pPr>
    </w:p>
    <w:p w14:paraId="44D8AE9E">
      <w:pPr>
        <w:pStyle w:val="125"/>
        <w:spacing w:after="0"/>
        <w:ind w:left="0" w:firstLine="0"/>
        <w:jc w:val="both"/>
        <w:rPr>
          <w:rFonts w:ascii="Arial" w:hAnsi="Arial" w:cs="Arial"/>
          <w:sz w:val="18"/>
          <w:szCs w:val="18"/>
          <w:lang w:val="sq-AL"/>
        </w:rPr>
      </w:pPr>
      <w:r>
        <w:rPr>
          <w:rFonts w:ascii="Arial" w:hAnsi="Arial" w:cs="Arial"/>
          <w:sz w:val="18"/>
          <w:szCs w:val="18"/>
          <w:lang w:val="sq-AL"/>
        </w:rPr>
        <w:t>15.2 Ofruesi i Shërbimeve, me kërkesë të Autoritetit Kontraktues, do të ofroj dëshmi për Autoritetin Kontraktues që sigurimi i tillë është marrë dhe ruajtur dhe se primet e tanishme janë paguar.</w:t>
      </w:r>
    </w:p>
    <w:p w14:paraId="47AFB5F8">
      <w:pPr>
        <w:pStyle w:val="125"/>
        <w:ind w:left="0" w:firstLine="0"/>
        <w:jc w:val="both"/>
        <w:rPr>
          <w:rFonts w:ascii="Arial" w:hAnsi="Arial" w:cs="Arial"/>
          <w:sz w:val="18"/>
          <w:szCs w:val="18"/>
          <w:lang w:val="sq-AL"/>
        </w:rPr>
      </w:pPr>
      <w:r>
        <w:rPr>
          <w:rFonts w:ascii="Arial" w:hAnsi="Arial" w:cs="Arial"/>
          <w:sz w:val="18"/>
          <w:szCs w:val="18"/>
          <w:lang w:val="sq-AL"/>
        </w:rPr>
        <w:t xml:space="preserve"> </w:t>
      </w:r>
    </w:p>
    <w:p w14:paraId="3AE4CB61">
      <w:pPr>
        <w:spacing w:after="0"/>
        <w:ind w:right="113"/>
        <w:rPr>
          <w:rFonts w:ascii="Arial" w:hAnsi="Arial" w:cs="Arial"/>
          <w:b/>
          <w:sz w:val="18"/>
          <w:szCs w:val="18"/>
        </w:rPr>
      </w:pPr>
    </w:p>
    <w:p w14:paraId="765B0B5F">
      <w:pPr>
        <w:spacing w:after="0"/>
        <w:ind w:right="113"/>
        <w:rPr>
          <w:rFonts w:ascii="Arial" w:hAnsi="Arial" w:cs="Arial"/>
          <w:b/>
          <w:sz w:val="18"/>
          <w:szCs w:val="18"/>
        </w:rPr>
      </w:pPr>
      <w:r>
        <w:rPr>
          <w:rFonts w:ascii="Arial" w:hAnsi="Arial" w:cs="Arial"/>
          <w:b/>
          <w:sz w:val="18"/>
          <w:szCs w:val="18"/>
        </w:rPr>
        <w:t>Neni 16</w:t>
      </w:r>
      <w:r>
        <w:rPr>
          <w:rFonts w:ascii="Arial" w:hAnsi="Arial" w:cs="Arial"/>
          <w:b/>
          <w:sz w:val="18"/>
          <w:szCs w:val="18"/>
        </w:rPr>
        <w:tab/>
      </w:r>
      <w:r>
        <w:rPr>
          <w:rFonts w:ascii="Arial" w:hAnsi="Arial" w:cs="Arial"/>
          <w:b/>
          <w:sz w:val="18"/>
          <w:szCs w:val="18"/>
        </w:rPr>
        <w:t xml:space="preserve">            Parimet e përgjithshme të pagesës</w:t>
      </w:r>
    </w:p>
    <w:p w14:paraId="1DD03220">
      <w:pPr>
        <w:spacing w:after="0"/>
        <w:ind w:left="567" w:right="113"/>
        <w:rPr>
          <w:rFonts w:ascii="Arial" w:hAnsi="Arial" w:cs="Arial"/>
          <w:b/>
          <w:sz w:val="18"/>
          <w:szCs w:val="18"/>
        </w:rPr>
      </w:pPr>
    </w:p>
    <w:p w14:paraId="571FBDC8">
      <w:pPr>
        <w:tabs>
          <w:tab w:val="left" w:pos="615"/>
          <w:tab w:val="right" w:pos="9885"/>
        </w:tabs>
        <w:spacing w:after="0"/>
        <w:ind w:right="113"/>
        <w:rPr>
          <w:rFonts w:ascii="Arial" w:hAnsi="Arial" w:cs="Arial"/>
          <w:sz w:val="18"/>
          <w:szCs w:val="18"/>
        </w:rPr>
      </w:pPr>
      <w:r>
        <w:rPr>
          <w:rFonts w:ascii="Arial" w:hAnsi="Arial" w:cs="Arial"/>
          <w:sz w:val="18"/>
          <w:szCs w:val="18"/>
        </w:rPr>
        <w:t>16.1 Pagesat do të bëhen në Euro. Metoda dhe kushtet e pagesës qe duhet t’i behet Ofruesit të Shërbimeve sipas kësaj Kontrate do te specifikohen ne KVK.</w:t>
      </w:r>
    </w:p>
    <w:p w14:paraId="77C0786C">
      <w:pPr>
        <w:tabs>
          <w:tab w:val="left" w:pos="615"/>
          <w:tab w:val="right" w:pos="9885"/>
        </w:tabs>
        <w:spacing w:after="0"/>
        <w:ind w:left="567" w:right="113"/>
        <w:rPr>
          <w:rFonts w:ascii="Arial" w:hAnsi="Arial" w:cs="Arial"/>
          <w:sz w:val="18"/>
          <w:szCs w:val="18"/>
        </w:rPr>
      </w:pPr>
    </w:p>
    <w:p w14:paraId="2DD8AE1D">
      <w:pPr>
        <w:tabs>
          <w:tab w:val="left" w:pos="615"/>
          <w:tab w:val="left" w:pos="5130"/>
          <w:tab w:val="right" w:pos="9885"/>
        </w:tabs>
        <w:spacing w:after="0"/>
        <w:ind w:right="113"/>
        <w:rPr>
          <w:rFonts w:ascii="Arial" w:hAnsi="Arial" w:cs="Arial"/>
          <w:sz w:val="18"/>
          <w:szCs w:val="18"/>
        </w:rPr>
      </w:pPr>
      <w:r>
        <w:rPr>
          <w:rFonts w:ascii="Arial" w:hAnsi="Arial" w:cs="Arial"/>
          <w:sz w:val="18"/>
          <w:szCs w:val="18"/>
        </w:rPr>
        <w:t xml:space="preserve">16.2 Pagesat qe duhet te bëhen sipas faturës se lëshuar nga Ofruesi i Shërbimeve do të bëhen në llogarinë bankare të dhënë në Pjesën V, </w:t>
      </w:r>
      <w:r>
        <w:rPr>
          <w:rFonts w:ascii="Arial" w:hAnsi="Arial" w:cs="Arial"/>
          <w:b/>
          <w:sz w:val="18"/>
          <w:szCs w:val="18"/>
        </w:rPr>
        <w:t xml:space="preserve">Identifikimi Financiar, </w:t>
      </w:r>
      <w:r>
        <w:rPr>
          <w:rFonts w:ascii="Arial" w:hAnsi="Arial" w:cs="Arial"/>
          <w:sz w:val="18"/>
          <w:szCs w:val="18"/>
        </w:rPr>
        <w:t>i kësaj kontrate që e plotëson Ofruesi i Shërbimeve. I njëjti formular, që i bashkëngjitet kërkesës për pagesë, duhet të përdoret për t’i raportuar ndryshimet në llogarinë bankare.</w:t>
      </w:r>
    </w:p>
    <w:p w14:paraId="6C9C5125">
      <w:pPr>
        <w:tabs>
          <w:tab w:val="left" w:pos="615"/>
          <w:tab w:val="left" w:pos="5130"/>
          <w:tab w:val="right" w:pos="9885"/>
        </w:tabs>
        <w:spacing w:after="0"/>
        <w:ind w:left="567" w:right="113"/>
        <w:rPr>
          <w:rFonts w:ascii="Arial" w:hAnsi="Arial" w:cs="Arial"/>
          <w:sz w:val="18"/>
          <w:szCs w:val="18"/>
        </w:rPr>
      </w:pPr>
    </w:p>
    <w:p w14:paraId="43E1E4A3">
      <w:pPr>
        <w:widowControl w:val="0"/>
        <w:spacing w:after="0"/>
        <w:ind w:right="113"/>
        <w:rPr>
          <w:rFonts w:ascii="Arial" w:hAnsi="Arial" w:cs="Arial"/>
          <w:sz w:val="18"/>
          <w:szCs w:val="18"/>
        </w:rPr>
      </w:pPr>
      <w:r>
        <w:rPr>
          <w:rFonts w:ascii="Arial" w:hAnsi="Arial" w:cs="Arial"/>
          <w:sz w:val="18"/>
          <w:szCs w:val="18"/>
        </w:rPr>
        <w:t>16.3 Shumat duhet të paguhen brenda jo më shumë se 30 ditësh kalendarike nga data në të cilën kërkesa e pranueshme për pagesë është regjistruar nga departamenti përkatës. Data e pagesës do të jetë data në të cilën debitohet llogaria e institucionit. Kërkesa për pagesë nuk do të jetë e pranueshme nëse nuk plotësohen një ose më shumë nga kërkesat thelbësore.</w:t>
      </w:r>
    </w:p>
    <w:p w14:paraId="4C0D2625">
      <w:pPr>
        <w:widowControl w:val="0"/>
        <w:spacing w:after="0"/>
        <w:ind w:left="567" w:right="113"/>
        <w:rPr>
          <w:rFonts w:ascii="Arial" w:hAnsi="Arial" w:cs="Arial"/>
          <w:sz w:val="18"/>
          <w:szCs w:val="18"/>
        </w:rPr>
      </w:pPr>
    </w:p>
    <w:p w14:paraId="2F7D269E">
      <w:pPr>
        <w:tabs>
          <w:tab w:val="left" w:pos="615"/>
          <w:tab w:val="left" w:pos="5130"/>
          <w:tab w:val="right" w:pos="9885"/>
        </w:tabs>
        <w:spacing w:after="0"/>
        <w:ind w:right="113"/>
        <w:rPr>
          <w:rFonts w:ascii="Arial" w:hAnsi="Arial" w:cs="Arial"/>
          <w:sz w:val="18"/>
          <w:szCs w:val="18"/>
        </w:rPr>
      </w:pPr>
      <w:r>
        <w:rPr>
          <w:rFonts w:ascii="Arial" w:hAnsi="Arial" w:cs="Arial"/>
          <w:sz w:val="18"/>
          <w:szCs w:val="18"/>
        </w:rPr>
        <w:t>16.4 Periudha prej 30-ditësh mund të pezullohet duke e lajmëruar Ofruesin e Shërbimeve që kërkesa për pagesë nuk mund të plotësohet sepse shuma nuk do të paguhet për shkak se nuk janë dorëzuar dokumentet e duhura përmbajtjesore ose sepse ka dëshmi që shpenzimi mund të mos jetë legjitim. Në rastin e fundit mund të bëhet një inspektim i menjëhershëm për qëllim të kontrollimeve tjera. Ofruesi i Shërbimeve do të japë sqarime, modifikime apo informata të tjera brenda 15 ditësh pas kërkesës. Periudha e pagesës do të llogaritet nga data në të cilën është regjistruar kërkesa për pagesë e përgatitur në mënyrën e duhur.</w:t>
      </w:r>
    </w:p>
    <w:p w14:paraId="6F3F58AE">
      <w:pPr>
        <w:widowControl w:val="0"/>
        <w:spacing w:after="0"/>
        <w:ind w:left="567" w:right="113"/>
        <w:rPr>
          <w:rFonts w:ascii="Arial" w:hAnsi="Arial" w:cs="Arial"/>
          <w:sz w:val="18"/>
          <w:szCs w:val="18"/>
        </w:rPr>
      </w:pPr>
    </w:p>
    <w:p w14:paraId="6C3A10E1">
      <w:pPr>
        <w:tabs>
          <w:tab w:val="left" w:pos="615"/>
          <w:tab w:val="right" w:pos="5678"/>
        </w:tabs>
        <w:spacing w:after="0"/>
        <w:ind w:right="113"/>
        <w:rPr>
          <w:rFonts w:ascii="Arial" w:hAnsi="Arial" w:cs="Arial"/>
          <w:sz w:val="18"/>
          <w:szCs w:val="18"/>
        </w:rPr>
      </w:pPr>
      <w:r>
        <w:rPr>
          <w:rFonts w:ascii="Arial" w:hAnsi="Arial" w:cs="Arial"/>
          <w:sz w:val="18"/>
          <w:szCs w:val="18"/>
        </w:rPr>
        <w:t>16.5 Pasi që të ketë kaluar afati i fundit i dhënë në Nenin 16.3, Ofruesi i Shërbimeve mundet që, brenda dy muajsh pas pagesës së vonuar, të kërkojë interesin për pagesë të vonuar me normë të re-zbritje që zbatohet nga Banka Qendrore e Kosovës në ditën e parë të muajit në të cilin ka skaduar afati i fundit, plus shtatë pikë të përqindjes. Interesi për pagesë të vonuar do të zbatohet për kohën që kalon ndërmjet datës së afatit të fundit të pagesës (nuk përfshihet) dhe datës në të cilën debitohet llogaria e Autoritetit kontraktues (përfshihet).</w:t>
      </w:r>
    </w:p>
    <w:p w14:paraId="0AA689BE">
      <w:pPr>
        <w:tabs>
          <w:tab w:val="left" w:pos="615"/>
          <w:tab w:val="right" w:pos="5678"/>
        </w:tabs>
        <w:spacing w:after="0"/>
        <w:ind w:right="113"/>
        <w:rPr>
          <w:rFonts w:ascii="Arial" w:hAnsi="Arial" w:cs="Arial"/>
          <w:sz w:val="18"/>
          <w:szCs w:val="18"/>
        </w:rPr>
      </w:pPr>
    </w:p>
    <w:p w14:paraId="31FEF732">
      <w:pPr>
        <w:widowControl w:val="0"/>
        <w:spacing w:after="0"/>
        <w:ind w:right="113"/>
        <w:rPr>
          <w:rFonts w:ascii="Arial" w:hAnsi="Arial" w:cs="Arial"/>
          <w:sz w:val="18"/>
          <w:szCs w:val="18"/>
        </w:rPr>
      </w:pPr>
      <w:r>
        <w:rPr>
          <w:rFonts w:ascii="Arial" w:hAnsi="Arial" w:cs="Arial"/>
          <w:sz w:val="18"/>
          <w:szCs w:val="18"/>
        </w:rPr>
        <w:t>16.6 Të gjitha mos pagesat pas 90 ditësh nga skadimi i periudhës së dhënë në Nenin 16.3 do t’i japin të drejtë Ofruesit të Shërbimeve që ose të mos e realizojë kontratën, ose ta ndërpresë atë, me paralajmërim prej 30 ditësh për Autoritetin kontraktues.</w:t>
      </w:r>
    </w:p>
    <w:p w14:paraId="1D5E0358">
      <w:pPr>
        <w:widowControl w:val="0"/>
        <w:spacing w:after="0"/>
        <w:ind w:right="113"/>
        <w:rPr>
          <w:rFonts w:ascii="Arial" w:hAnsi="Arial" w:cs="Arial"/>
          <w:sz w:val="18"/>
          <w:szCs w:val="18"/>
        </w:rPr>
      </w:pPr>
    </w:p>
    <w:p w14:paraId="3AB31A11">
      <w:pPr>
        <w:spacing w:after="0"/>
        <w:rPr>
          <w:rFonts w:ascii="Arial" w:hAnsi="Arial" w:cs="Arial"/>
          <w:b/>
          <w:sz w:val="18"/>
          <w:szCs w:val="18"/>
        </w:rPr>
      </w:pPr>
      <w:r>
        <w:rPr>
          <w:rFonts w:ascii="Arial" w:hAnsi="Arial" w:cs="Arial"/>
          <w:b/>
          <w:sz w:val="18"/>
          <w:szCs w:val="18"/>
        </w:rPr>
        <w:t xml:space="preserve">Neni 17 </w:t>
      </w:r>
      <w:r>
        <w:rPr>
          <w:rFonts w:ascii="Arial" w:hAnsi="Arial" w:cs="Arial"/>
          <w:b/>
          <w:sz w:val="18"/>
          <w:szCs w:val="18"/>
        </w:rPr>
        <w:tab/>
      </w:r>
      <w:r>
        <w:rPr>
          <w:rFonts w:ascii="Arial" w:hAnsi="Arial" w:cs="Arial"/>
          <w:b/>
          <w:sz w:val="18"/>
          <w:szCs w:val="18"/>
        </w:rPr>
        <w:t xml:space="preserve">               Kontrolli i kualitetit</w:t>
      </w:r>
    </w:p>
    <w:p w14:paraId="03FBC284">
      <w:pPr>
        <w:spacing w:after="0"/>
        <w:rPr>
          <w:rFonts w:ascii="Arial" w:hAnsi="Arial" w:cs="Arial"/>
          <w:b/>
          <w:sz w:val="18"/>
          <w:szCs w:val="18"/>
        </w:rPr>
      </w:pPr>
    </w:p>
    <w:p w14:paraId="6C61E83D">
      <w:pPr>
        <w:spacing w:after="0"/>
        <w:textAlignment w:val="top"/>
        <w:rPr>
          <w:rFonts w:ascii="Arial" w:hAnsi="Arial" w:cs="Arial"/>
          <w:color w:val="888888"/>
          <w:sz w:val="17"/>
          <w:szCs w:val="17"/>
          <w:lang w:eastAsia="en-US"/>
        </w:rPr>
      </w:pPr>
      <w:r>
        <w:rPr>
          <w:rFonts w:ascii="Arial" w:hAnsi="Arial" w:cs="Arial"/>
          <w:sz w:val="18"/>
          <w:szCs w:val="18"/>
        </w:rPr>
        <w:t xml:space="preserve">17.1 </w:t>
      </w:r>
      <w:r>
        <w:rPr>
          <w:rFonts w:ascii="Arial" w:hAnsi="Arial" w:cs="Arial"/>
          <w:color w:val="000000"/>
          <w:sz w:val="18"/>
          <w:szCs w:val="18"/>
          <w:lang w:eastAsia="en-US"/>
        </w:rPr>
        <w:t>Parimi dhe modalitetet e Inspektimit të Shërbimeve nga Autoriteti kontraktues do të jenë si në KVK. Autoriteti kontraktues do të kontrollojë punën e ofruesit të shërbimeve dhe të njoftojë atë për çdo defekt që është gjetur. Kontrolli i tillë nuk do të ndikojë në përgjegjësitë e ofruesit të shërbimeve. Autoriteti Kontraktues mund të udhëzojë ofruesit e shërbimeve të kërkojnë një defekt dhe të zbulojnë dhe provojnë çdo shërbim që Autoriteti Kontraktues konsideron se mund të ketë një defekt. Periudha garantuese e defekteve është si në KVK.</w:t>
      </w:r>
    </w:p>
    <w:p w14:paraId="03176566">
      <w:pPr>
        <w:spacing w:after="0"/>
        <w:jc w:val="left"/>
        <w:textAlignment w:val="top"/>
        <w:rPr>
          <w:rFonts w:ascii="Arial" w:hAnsi="Arial" w:cs="Arial"/>
          <w:color w:val="1111CC"/>
          <w:sz w:val="17"/>
          <w:lang w:eastAsia="en-US"/>
        </w:rPr>
      </w:pPr>
    </w:p>
    <w:p w14:paraId="3399A9A3">
      <w:pPr>
        <w:spacing w:after="0"/>
        <w:jc w:val="left"/>
        <w:textAlignment w:val="top"/>
        <w:rPr>
          <w:rFonts w:ascii="Arial" w:hAnsi="Arial" w:cs="Arial"/>
          <w:vanish/>
          <w:color w:val="1111CC"/>
          <w:sz w:val="17"/>
          <w:szCs w:val="17"/>
          <w:lang w:eastAsia="en-US"/>
        </w:rPr>
      </w:pPr>
      <w:r>
        <w:rPr>
          <w:rFonts w:ascii="Arial" w:hAnsi="Arial" w:cs="Arial"/>
          <w:vanish/>
          <w:color w:val="1111CC"/>
          <w:sz w:val="17"/>
          <w:lang w:eastAsia="en-US"/>
        </w:rPr>
        <w:t>Listen</w:t>
      </w:r>
    </w:p>
    <w:p w14:paraId="290D92CF">
      <w:pPr>
        <w:spacing w:after="0"/>
        <w:jc w:val="left"/>
        <w:textAlignment w:val="top"/>
        <w:rPr>
          <w:rFonts w:ascii="Arial" w:hAnsi="Arial" w:cs="Arial"/>
          <w:vanish/>
          <w:color w:val="1111CC"/>
          <w:sz w:val="17"/>
          <w:szCs w:val="17"/>
          <w:lang w:eastAsia="en-US"/>
        </w:rPr>
      </w:pPr>
      <w:r>
        <w:rPr>
          <w:rFonts w:ascii="Arial" w:hAnsi="Arial" w:cs="Arial"/>
          <w:vanish/>
          <w:color w:val="1111CC"/>
          <w:sz w:val="17"/>
          <w:lang w:eastAsia="en-US"/>
        </w:rPr>
        <w:t>Read phonetically</w:t>
      </w:r>
    </w:p>
    <w:p w14:paraId="08C5C959">
      <w:pPr>
        <w:spacing w:after="0" w:line="360" w:lineRule="atLeast"/>
        <w:jc w:val="left"/>
        <w:textAlignment w:val="top"/>
        <w:rPr>
          <w:rFonts w:ascii="Lucida Sans Unicode" w:hAnsi="Lucida Sans Unicode" w:cs="Lucida Sans Unicode"/>
          <w:vanish/>
          <w:color w:val="777777"/>
          <w:sz w:val="17"/>
          <w:szCs w:val="17"/>
          <w:lang w:eastAsia="en-US"/>
        </w:rPr>
      </w:pPr>
      <w:r>
        <w:rPr>
          <w:rFonts w:ascii="Lucida Sans Unicode" w:hAnsi="Lucida Sans Unicode" w:cs="Lucida Sans Unicode"/>
          <w:vanish/>
          <w:color w:val="777777"/>
          <w:sz w:val="17"/>
          <w:szCs w:val="17"/>
          <w:lang w:eastAsia="en-US"/>
        </w:rPr>
        <w:t> </w:t>
      </w:r>
    </w:p>
    <w:p w14:paraId="26CA0D03">
      <w:pPr>
        <w:spacing w:after="0" w:line="206" w:lineRule="atLeast"/>
        <w:jc w:val="left"/>
        <w:textAlignment w:val="top"/>
        <w:outlineLvl w:val="3"/>
        <w:rPr>
          <w:rFonts w:ascii="Arial" w:hAnsi="Arial" w:cs="Arial"/>
          <w:vanish/>
          <w:color w:val="888888"/>
          <w:sz w:val="17"/>
          <w:szCs w:val="17"/>
          <w:lang w:eastAsia="en-US"/>
        </w:rPr>
      </w:pPr>
      <w:r>
        <w:rPr>
          <w:rFonts w:ascii="Arial" w:hAnsi="Arial" w:cs="Arial"/>
          <w:vanish/>
          <w:color w:val="888888"/>
          <w:sz w:val="17"/>
          <w:szCs w:val="17"/>
          <w:lang w:eastAsia="en-US"/>
        </w:rPr>
        <w:t xml:space="preserve">Dictionary - </w:t>
      </w:r>
      <w:r>
        <w:fldChar w:fldCharType="begin"/>
      </w:r>
      <w:r>
        <w:instrText xml:space="preserve"> HYPERLINK "http://www.google.com/dictionary?source=translation&amp;hl=en&amp;q=&amp;langpair=en|sq" </w:instrText>
      </w:r>
      <w:r>
        <w:fldChar w:fldCharType="separate"/>
      </w:r>
      <w:r>
        <w:rPr>
          <w:rFonts w:ascii="Arial" w:hAnsi="Arial" w:cs="Arial"/>
          <w:vanish/>
          <w:color w:val="4272DB"/>
          <w:sz w:val="17"/>
          <w:szCs w:val="17"/>
          <w:lang w:eastAsia="en-US"/>
        </w:rPr>
        <w:t>View detailed dictionary</w:t>
      </w:r>
      <w:r>
        <w:rPr>
          <w:rFonts w:ascii="Arial" w:hAnsi="Arial" w:cs="Arial"/>
          <w:vanish/>
          <w:color w:val="4272DB"/>
          <w:sz w:val="17"/>
          <w:szCs w:val="17"/>
          <w:lang w:eastAsia="en-US"/>
        </w:rPr>
        <w:fldChar w:fldCharType="end"/>
      </w:r>
    </w:p>
    <w:p w14:paraId="3061EFFA">
      <w:pPr>
        <w:spacing w:after="0"/>
        <w:rPr>
          <w:rFonts w:ascii="Arial" w:hAnsi="Arial" w:cs="Arial"/>
          <w:b/>
          <w:sz w:val="18"/>
          <w:szCs w:val="18"/>
        </w:rPr>
      </w:pPr>
      <w:r>
        <w:rPr>
          <w:rFonts w:ascii="Arial" w:hAnsi="Arial" w:cs="Arial"/>
          <w:b/>
          <w:sz w:val="18"/>
          <w:szCs w:val="18"/>
        </w:rPr>
        <w:t>Neni 18</w:t>
      </w:r>
      <w:r>
        <w:rPr>
          <w:rFonts w:ascii="Arial" w:hAnsi="Arial" w:cs="Arial"/>
          <w:b/>
          <w:sz w:val="18"/>
          <w:szCs w:val="18"/>
        </w:rPr>
        <w:tab/>
      </w:r>
      <w:r>
        <w:rPr>
          <w:rFonts w:ascii="Arial" w:hAnsi="Arial" w:cs="Arial"/>
          <w:b/>
          <w:sz w:val="18"/>
          <w:szCs w:val="18"/>
        </w:rPr>
        <w:t xml:space="preserve">              Korrigjimi i defekteve</w:t>
      </w:r>
    </w:p>
    <w:p w14:paraId="38401307">
      <w:pPr>
        <w:spacing w:after="0"/>
        <w:rPr>
          <w:rFonts w:ascii="Arial" w:hAnsi="Arial" w:cs="Arial"/>
          <w:b/>
          <w:sz w:val="18"/>
          <w:szCs w:val="18"/>
        </w:rPr>
      </w:pPr>
    </w:p>
    <w:p w14:paraId="0D26B8C8">
      <w:pPr>
        <w:numPr>
          <w:ilvl w:val="12"/>
          <w:numId w:val="0"/>
        </w:numPr>
        <w:tabs>
          <w:tab w:val="left" w:pos="540"/>
        </w:tabs>
        <w:rPr>
          <w:rFonts w:ascii="Arial" w:hAnsi="Arial" w:cs="Arial"/>
          <w:color w:val="000000"/>
          <w:sz w:val="21"/>
          <w:szCs w:val="21"/>
        </w:rPr>
      </w:pPr>
      <w:r>
        <w:rPr>
          <w:rFonts w:ascii="Arial" w:hAnsi="Arial" w:cs="Arial"/>
          <w:sz w:val="18"/>
          <w:szCs w:val="18"/>
        </w:rPr>
        <w:t xml:space="preserve">18.1 </w:t>
      </w:r>
      <w:r>
        <w:rPr>
          <w:rStyle w:val="126"/>
          <w:rFonts w:ascii="Arial" w:hAnsi="Arial" w:cs="Arial"/>
          <w:color w:val="000000"/>
          <w:sz w:val="18"/>
          <w:szCs w:val="18"/>
        </w:rPr>
        <w:t>Autoriteti kontraktues do</w:t>
      </w:r>
      <w:r>
        <w:rPr>
          <w:rFonts w:ascii="Arial" w:hAnsi="Arial" w:cs="Arial"/>
          <w:color w:val="000000"/>
          <w:sz w:val="18"/>
          <w:szCs w:val="18"/>
        </w:rPr>
        <w:t xml:space="preserve"> </w:t>
      </w:r>
      <w:r>
        <w:rPr>
          <w:rStyle w:val="126"/>
          <w:rFonts w:ascii="Arial" w:hAnsi="Arial" w:cs="Arial"/>
          <w:color w:val="000000"/>
          <w:sz w:val="18"/>
          <w:szCs w:val="18"/>
        </w:rPr>
        <w:t>të njoftojë</w:t>
      </w:r>
      <w:r>
        <w:rPr>
          <w:rFonts w:ascii="Arial" w:hAnsi="Arial" w:cs="Arial"/>
          <w:color w:val="000000"/>
          <w:sz w:val="18"/>
          <w:szCs w:val="18"/>
        </w:rPr>
        <w:t xml:space="preserve"> </w:t>
      </w:r>
      <w:r>
        <w:rPr>
          <w:rStyle w:val="126"/>
          <w:rFonts w:ascii="Arial" w:hAnsi="Arial" w:cs="Arial"/>
          <w:color w:val="000000"/>
          <w:sz w:val="18"/>
          <w:szCs w:val="18"/>
        </w:rPr>
        <w:t>ofruesit e shërbimeve</w:t>
      </w:r>
      <w:r>
        <w:rPr>
          <w:rFonts w:ascii="Arial" w:hAnsi="Arial" w:cs="Arial"/>
          <w:color w:val="000000"/>
          <w:sz w:val="18"/>
          <w:szCs w:val="18"/>
        </w:rPr>
        <w:t xml:space="preserve"> </w:t>
      </w:r>
      <w:r>
        <w:rPr>
          <w:rStyle w:val="126"/>
          <w:rFonts w:ascii="Arial" w:hAnsi="Arial" w:cs="Arial"/>
          <w:color w:val="000000"/>
          <w:sz w:val="18"/>
          <w:szCs w:val="18"/>
        </w:rPr>
        <w:t>për</w:t>
      </w:r>
      <w:r>
        <w:rPr>
          <w:rFonts w:ascii="Arial" w:hAnsi="Arial" w:cs="Arial"/>
          <w:color w:val="000000"/>
          <w:sz w:val="18"/>
          <w:szCs w:val="18"/>
        </w:rPr>
        <w:t xml:space="preserve"> </w:t>
      </w:r>
      <w:r>
        <w:rPr>
          <w:rStyle w:val="126"/>
          <w:rFonts w:ascii="Arial" w:hAnsi="Arial" w:cs="Arial"/>
          <w:color w:val="000000"/>
          <w:sz w:val="18"/>
          <w:szCs w:val="18"/>
        </w:rPr>
        <w:t>çdo</w:t>
      </w:r>
      <w:r>
        <w:rPr>
          <w:rFonts w:ascii="Arial" w:hAnsi="Arial" w:cs="Arial"/>
          <w:color w:val="000000"/>
          <w:sz w:val="18"/>
          <w:szCs w:val="18"/>
        </w:rPr>
        <w:t xml:space="preserve"> </w:t>
      </w:r>
      <w:r>
        <w:rPr>
          <w:rStyle w:val="126"/>
          <w:rFonts w:ascii="Arial" w:hAnsi="Arial" w:cs="Arial"/>
          <w:color w:val="000000"/>
          <w:sz w:val="18"/>
          <w:szCs w:val="18"/>
        </w:rPr>
        <w:t>Defekt</w:t>
      </w:r>
      <w:r>
        <w:rPr>
          <w:rFonts w:ascii="Arial" w:hAnsi="Arial" w:cs="Arial"/>
          <w:color w:val="000000"/>
          <w:sz w:val="18"/>
          <w:szCs w:val="18"/>
        </w:rPr>
        <w:t xml:space="preserve"> </w:t>
      </w:r>
      <w:r>
        <w:rPr>
          <w:rStyle w:val="126"/>
          <w:rFonts w:ascii="Arial" w:hAnsi="Arial" w:cs="Arial"/>
          <w:color w:val="000000"/>
          <w:sz w:val="18"/>
          <w:szCs w:val="18"/>
        </w:rPr>
        <w:t>para</w:t>
      </w:r>
      <w:r>
        <w:rPr>
          <w:rFonts w:ascii="Arial" w:hAnsi="Arial" w:cs="Arial"/>
          <w:color w:val="000000"/>
          <w:sz w:val="18"/>
          <w:szCs w:val="18"/>
        </w:rPr>
        <w:t xml:space="preserve"> </w:t>
      </w:r>
      <w:r>
        <w:rPr>
          <w:rStyle w:val="126"/>
          <w:rFonts w:ascii="Arial" w:hAnsi="Arial" w:cs="Arial"/>
          <w:color w:val="000000"/>
          <w:sz w:val="18"/>
          <w:szCs w:val="18"/>
        </w:rPr>
        <w:t>përfundimit të</w:t>
      </w:r>
      <w:r>
        <w:rPr>
          <w:rFonts w:ascii="Arial" w:hAnsi="Arial" w:cs="Arial"/>
          <w:color w:val="000000"/>
          <w:sz w:val="18"/>
          <w:szCs w:val="18"/>
        </w:rPr>
        <w:t xml:space="preserve"> </w:t>
      </w:r>
      <w:r>
        <w:rPr>
          <w:rStyle w:val="126"/>
          <w:rFonts w:ascii="Arial" w:hAnsi="Arial" w:cs="Arial"/>
          <w:color w:val="000000"/>
          <w:sz w:val="18"/>
          <w:szCs w:val="18"/>
        </w:rPr>
        <w:t>kontratës</w:t>
      </w:r>
      <w:r>
        <w:rPr>
          <w:rFonts w:ascii="Arial" w:hAnsi="Arial" w:cs="Arial"/>
          <w:color w:val="000000"/>
          <w:sz w:val="18"/>
          <w:szCs w:val="18"/>
        </w:rPr>
        <w:t xml:space="preserve">. </w:t>
      </w:r>
      <w:r>
        <w:rPr>
          <w:rStyle w:val="126"/>
          <w:rFonts w:ascii="Arial" w:hAnsi="Arial" w:cs="Arial"/>
          <w:color w:val="000000"/>
          <w:sz w:val="18"/>
          <w:szCs w:val="18"/>
        </w:rPr>
        <w:t>Periudha garantuese e</w:t>
      </w:r>
      <w:r>
        <w:rPr>
          <w:rFonts w:ascii="Arial" w:hAnsi="Arial" w:cs="Arial"/>
          <w:color w:val="000000"/>
          <w:sz w:val="18"/>
          <w:szCs w:val="18"/>
        </w:rPr>
        <w:t xml:space="preserve"> </w:t>
      </w:r>
      <w:r>
        <w:rPr>
          <w:rStyle w:val="126"/>
          <w:rFonts w:ascii="Arial" w:hAnsi="Arial" w:cs="Arial"/>
          <w:color w:val="000000"/>
          <w:sz w:val="18"/>
          <w:szCs w:val="18"/>
        </w:rPr>
        <w:t>defekteve</w:t>
      </w:r>
      <w:r>
        <w:rPr>
          <w:rFonts w:ascii="Arial" w:hAnsi="Arial" w:cs="Arial"/>
          <w:color w:val="000000"/>
          <w:sz w:val="18"/>
          <w:szCs w:val="18"/>
        </w:rPr>
        <w:t xml:space="preserve"> </w:t>
      </w:r>
      <w:r>
        <w:rPr>
          <w:rStyle w:val="126"/>
          <w:rFonts w:ascii="Arial" w:hAnsi="Arial" w:cs="Arial"/>
          <w:color w:val="000000"/>
          <w:sz w:val="18"/>
          <w:szCs w:val="18"/>
        </w:rPr>
        <w:t>do</w:t>
      </w:r>
      <w:r>
        <w:rPr>
          <w:rFonts w:ascii="Arial" w:hAnsi="Arial" w:cs="Arial"/>
          <w:color w:val="000000"/>
          <w:sz w:val="18"/>
          <w:szCs w:val="18"/>
        </w:rPr>
        <w:t xml:space="preserve"> </w:t>
      </w:r>
      <w:r>
        <w:rPr>
          <w:rStyle w:val="126"/>
          <w:rFonts w:ascii="Arial" w:hAnsi="Arial" w:cs="Arial"/>
          <w:color w:val="000000"/>
          <w:sz w:val="18"/>
          <w:szCs w:val="18"/>
        </w:rPr>
        <w:t>të zgjatet</w:t>
      </w:r>
      <w:r>
        <w:rPr>
          <w:rFonts w:ascii="Arial" w:hAnsi="Arial" w:cs="Arial"/>
          <w:color w:val="000000"/>
          <w:sz w:val="18"/>
          <w:szCs w:val="18"/>
        </w:rPr>
        <w:t xml:space="preserve"> </w:t>
      </w:r>
      <w:r>
        <w:rPr>
          <w:rStyle w:val="126"/>
          <w:rFonts w:ascii="Arial" w:hAnsi="Arial" w:cs="Arial"/>
          <w:color w:val="000000"/>
          <w:sz w:val="18"/>
          <w:szCs w:val="18"/>
        </w:rPr>
        <w:t>për</w:t>
      </w:r>
      <w:r>
        <w:rPr>
          <w:rFonts w:ascii="Arial" w:hAnsi="Arial" w:cs="Arial"/>
          <w:color w:val="000000"/>
          <w:sz w:val="18"/>
          <w:szCs w:val="18"/>
        </w:rPr>
        <w:t xml:space="preserve"> </w:t>
      </w:r>
      <w:r>
        <w:rPr>
          <w:rStyle w:val="126"/>
          <w:rFonts w:ascii="Arial" w:hAnsi="Arial" w:cs="Arial"/>
          <w:color w:val="000000"/>
          <w:sz w:val="18"/>
          <w:szCs w:val="18"/>
        </w:rPr>
        <w:t>aq kohë</w:t>
      </w:r>
      <w:r>
        <w:rPr>
          <w:rFonts w:ascii="Arial" w:hAnsi="Arial" w:cs="Arial"/>
          <w:color w:val="000000"/>
          <w:sz w:val="18"/>
          <w:szCs w:val="18"/>
        </w:rPr>
        <w:t xml:space="preserve"> </w:t>
      </w:r>
      <w:r>
        <w:rPr>
          <w:rStyle w:val="126"/>
          <w:rFonts w:ascii="Arial" w:hAnsi="Arial" w:cs="Arial"/>
          <w:color w:val="000000"/>
          <w:sz w:val="18"/>
          <w:szCs w:val="18"/>
        </w:rPr>
        <w:t>sa</w:t>
      </w:r>
      <w:r>
        <w:rPr>
          <w:rFonts w:ascii="Arial" w:hAnsi="Arial" w:cs="Arial"/>
          <w:color w:val="000000"/>
          <w:sz w:val="18"/>
          <w:szCs w:val="18"/>
        </w:rPr>
        <w:t xml:space="preserve"> </w:t>
      </w:r>
      <w:r>
        <w:rPr>
          <w:rStyle w:val="126"/>
          <w:rFonts w:ascii="Arial" w:hAnsi="Arial" w:cs="Arial"/>
          <w:color w:val="000000"/>
          <w:sz w:val="18"/>
          <w:szCs w:val="18"/>
        </w:rPr>
        <w:t>Defektet të korrigjohet</w:t>
      </w:r>
      <w:r>
        <w:rPr>
          <w:rFonts w:ascii="Arial" w:hAnsi="Arial" w:cs="Arial"/>
          <w:color w:val="000000"/>
          <w:sz w:val="18"/>
          <w:szCs w:val="18"/>
        </w:rPr>
        <w:t>.</w:t>
      </w:r>
    </w:p>
    <w:p w14:paraId="218B7DD7">
      <w:pPr>
        <w:numPr>
          <w:ilvl w:val="12"/>
          <w:numId w:val="0"/>
        </w:numPr>
        <w:tabs>
          <w:tab w:val="left" w:pos="540"/>
        </w:tabs>
        <w:spacing w:after="200"/>
        <w:rPr>
          <w:rFonts w:ascii="Arial" w:hAnsi="Arial" w:cs="Arial"/>
          <w:color w:val="000000"/>
          <w:sz w:val="21"/>
          <w:szCs w:val="21"/>
        </w:rPr>
      </w:pPr>
      <w:r>
        <w:rPr>
          <w:rFonts w:ascii="Arial" w:hAnsi="Arial" w:cs="Arial"/>
          <w:sz w:val="18"/>
          <w:szCs w:val="18"/>
        </w:rPr>
        <w:t xml:space="preserve">18.2 </w:t>
      </w:r>
      <w:r>
        <w:rPr>
          <w:rStyle w:val="126"/>
          <w:rFonts w:ascii="Arial" w:hAnsi="Arial" w:cs="Arial"/>
          <w:color w:val="000000"/>
          <w:sz w:val="18"/>
          <w:szCs w:val="18"/>
        </w:rPr>
        <w:t>Sa herë njoftimi për një</w:t>
      </w:r>
      <w:r>
        <w:rPr>
          <w:rFonts w:ascii="Arial" w:hAnsi="Arial" w:cs="Arial"/>
          <w:color w:val="000000"/>
          <w:sz w:val="18"/>
          <w:szCs w:val="18"/>
        </w:rPr>
        <w:t xml:space="preserve"> </w:t>
      </w:r>
      <w:r>
        <w:rPr>
          <w:rStyle w:val="126"/>
          <w:rFonts w:ascii="Arial" w:hAnsi="Arial" w:cs="Arial"/>
          <w:color w:val="000000"/>
          <w:sz w:val="18"/>
          <w:szCs w:val="18"/>
        </w:rPr>
        <w:t>defekt</w:t>
      </w:r>
      <w:r>
        <w:rPr>
          <w:rFonts w:ascii="Arial" w:hAnsi="Arial" w:cs="Arial"/>
          <w:color w:val="000000"/>
          <w:sz w:val="18"/>
          <w:szCs w:val="18"/>
        </w:rPr>
        <w:t xml:space="preserve"> </w:t>
      </w:r>
      <w:r>
        <w:rPr>
          <w:rStyle w:val="126"/>
          <w:rFonts w:ascii="Arial" w:hAnsi="Arial" w:cs="Arial"/>
          <w:color w:val="000000"/>
          <w:sz w:val="18"/>
          <w:szCs w:val="18"/>
        </w:rPr>
        <w:t>është</w:t>
      </w:r>
      <w:r>
        <w:rPr>
          <w:rFonts w:ascii="Arial" w:hAnsi="Arial" w:cs="Arial"/>
          <w:color w:val="000000"/>
          <w:sz w:val="18"/>
          <w:szCs w:val="18"/>
        </w:rPr>
        <w:t xml:space="preserve"> </w:t>
      </w:r>
      <w:r>
        <w:rPr>
          <w:rStyle w:val="126"/>
          <w:rFonts w:ascii="Arial" w:hAnsi="Arial" w:cs="Arial"/>
          <w:color w:val="000000"/>
          <w:sz w:val="18"/>
          <w:szCs w:val="18"/>
        </w:rPr>
        <w:t>dhënë</w:t>
      </w:r>
      <w:r>
        <w:rPr>
          <w:rFonts w:ascii="Arial" w:hAnsi="Arial" w:cs="Arial"/>
          <w:color w:val="000000"/>
          <w:sz w:val="18"/>
          <w:szCs w:val="18"/>
        </w:rPr>
        <w:t xml:space="preserve">, </w:t>
      </w:r>
      <w:r>
        <w:rPr>
          <w:rStyle w:val="126"/>
          <w:rFonts w:ascii="Arial" w:hAnsi="Arial" w:cs="Arial"/>
          <w:color w:val="000000"/>
          <w:sz w:val="18"/>
          <w:szCs w:val="18"/>
        </w:rPr>
        <w:t>ofruesi i shërbimeve</w:t>
      </w:r>
      <w:r>
        <w:rPr>
          <w:rFonts w:ascii="Arial" w:hAnsi="Arial" w:cs="Arial"/>
          <w:color w:val="000000"/>
          <w:sz w:val="18"/>
          <w:szCs w:val="18"/>
        </w:rPr>
        <w:t xml:space="preserve"> </w:t>
      </w:r>
      <w:r>
        <w:rPr>
          <w:rStyle w:val="126"/>
          <w:rFonts w:ascii="Arial" w:hAnsi="Arial" w:cs="Arial"/>
          <w:color w:val="000000"/>
          <w:sz w:val="18"/>
          <w:szCs w:val="18"/>
        </w:rPr>
        <w:t>duhet të</w:t>
      </w:r>
      <w:r>
        <w:rPr>
          <w:rFonts w:ascii="Arial" w:hAnsi="Arial" w:cs="Arial"/>
          <w:color w:val="000000"/>
          <w:sz w:val="18"/>
          <w:szCs w:val="18"/>
        </w:rPr>
        <w:t xml:space="preserve"> </w:t>
      </w:r>
      <w:r>
        <w:rPr>
          <w:rStyle w:val="126"/>
          <w:rFonts w:ascii="Arial" w:hAnsi="Arial" w:cs="Arial"/>
          <w:color w:val="000000"/>
          <w:sz w:val="18"/>
          <w:szCs w:val="18"/>
        </w:rPr>
        <w:t>përmirësoj</w:t>
      </w:r>
      <w:r>
        <w:rPr>
          <w:rFonts w:ascii="Arial" w:hAnsi="Arial" w:cs="Arial"/>
          <w:color w:val="000000"/>
          <w:sz w:val="18"/>
          <w:szCs w:val="18"/>
        </w:rPr>
        <w:t xml:space="preserve"> </w:t>
      </w:r>
      <w:r>
        <w:rPr>
          <w:rStyle w:val="126"/>
          <w:rFonts w:ascii="Arial" w:hAnsi="Arial" w:cs="Arial"/>
          <w:color w:val="000000"/>
          <w:sz w:val="18"/>
          <w:szCs w:val="18"/>
        </w:rPr>
        <w:t>defektin e</w:t>
      </w:r>
      <w:r>
        <w:rPr>
          <w:rFonts w:ascii="Arial" w:hAnsi="Arial" w:cs="Arial"/>
          <w:color w:val="000000"/>
          <w:sz w:val="18"/>
          <w:szCs w:val="18"/>
        </w:rPr>
        <w:t xml:space="preserve"> </w:t>
      </w:r>
      <w:r>
        <w:rPr>
          <w:rStyle w:val="126"/>
          <w:rFonts w:ascii="Arial" w:hAnsi="Arial" w:cs="Arial"/>
          <w:color w:val="000000"/>
          <w:sz w:val="18"/>
          <w:szCs w:val="18"/>
        </w:rPr>
        <w:t>njoftuar</w:t>
      </w:r>
      <w:r>
        <w:rPr>
          <w:rFonts w:ascii="Arial" w:hAnsi="Arial" w:cs="Arial"/>
          <w:color w:val="000000"/>
          <w:sz w:val="18"/>
          <w:szCs w:val="18"/>
        </w:rPr>
        <w:t xml:space="preserve"> </w:t>
      </w:r>
      <w:r>
        <w:rPr>
          <w:rStyle w:val="126"/>
          <w:rFonts w:ascii="Arial" w:hAnsi="Arial" w:cs="Arial"/>
          <w:color w:val="000000"/>
          <w:sz w:val="18"/>
          <w:szCs w:val="18"/>
        </w:rPr>
        <w:t>brenda</w:t>
      </w:r>
      <w:r>
        <w:rPr>
          <w:rFonts w:ascii="Arial" w:hAnsi="Arial" w:cs="Arial"/>
          <w:color w:val="000000"/>
          <w:sz w:val="18"/>
          <w:szCs w:val="18"/>
        </w:rPr>
        <w:t xml:space="preserve"> </w:t>
      </w:r>
      <w:r>
        <w:rPr>
          <w:rStyle w:val="126"/>
          <w:rFonts w:ascii="Arial" w:hAnsi="Arial" w:cs="Arial"/>
          <w:color w:val="000000"/>
          <w:sz w:val="18"/>
          <w:szCs w:val="18"/>
        </w:rPr>
        <w:t>kohës së specifikuar</w:t>
      </w:r>
      <w:r>
        <w:rPr>
          <w:rFonts w:ascii="Arial" w:hAnsi="Arial" w:cs="Arial"/>
          <w:color w:val="000000"/>
          <w:sz w:val="18"/>
          <w:szCs w:val="18"/>
        </w:rPr>
        <w:t xml:space="preserve"> </w:t>
      </w:r>
      <w:r>
        <w:rPr>
          <w:rStyle w:val="126"/>
          <w:rFonts w:ascii="Arial" w:hAnsi="Arial" w:cs="Arial"/>
          <w:color w:val="000000"/>
          <w:sz w:val="18"/>
          <w:szCs w:val="18"/>
        </w:rPr>
        <w:t>në njoftimin e Autoritetit Kontraktues</w:t>
      </w:r>
      <w:r>
        <w:rPr>
          <w:rFonts w:ascii="Arial" w:hAnsi="Arial" w:cs="Arial"/>
          <w:color w:val="000000"/>
          <w:sz w:val="18"/>
          <w:szCs w:val="18"/>
        </w:rPr>
        <w:t>.</w:t>
      </w:r>
    </w:p>
    <w:p w14:paraId="7F6768E2">
      <w:pPr>
        <w:rPr>
          <w:rFonts w:ascii="Arial" w:hAnsi="Arial" w:cs="Arial"/>
          <w:color w:val="000000"/>
          <w:sz w:val="21"/>
          <w:szCs w:val="21"/>
        </w:rPr>
      </w:pPr>
      <w:r>
        <w:rPr>
          <w:rFonts w:ascii="Arial" w:hAnsi="Arial" w:cs="Arial"/>
          <w:sz w:val="18"/>
          <w:szCs w:val="18"/>
        </w:rPr>
        <w:t xml:space="preserve">18.3 </w:t>
      </w:r>
      <w:r>
        <w:rPr>
          <w:rStyle w:val="126"/>
          <w:rFonts w:ascii="Arial" w:hAnsi="Arial" w:cs="Arial"/>
          <w:color w:val="000000"/>
          <w:sz w:val="18"/>
          <w:szCs w:val="18"/>
        </w:rPr>
        <w:t>Nëse</w:t>
      </w:r>
      <w:r>
        <w:rPr>
          <w:rFonts w:ascii="Arial" w:hAnsi="Arial" w:cs="Arial"/>
          <w:color w:val="000000"/>
          <w:sz w:val="18"/>
          <w:szCs w:val="18"/>
        </w:rPr>
        <w:t xml:space="preserve"> </w:t>
      </w:r>
      <w:r>
        <w:rPr>
          <w:rStyle w:val="126"/>
          <w:rFonts w:ascii="Arial" w:hAnsi="Arial" w:cs="Arial"/>
          <w:color w:val="000000"/>
          <w:sz w:val="18"/>
          <w:szCs w:val="18"/>
        </w:rPr>
        <w:t>ofruesi i shërbimeve</w:t>
      </w:r>
      <w:r>
        <w:rPr>
          <w:rFonts w:ascii="Arial" w:hAnsi="Arial" w:cs="Arial"/>
          <w:color w:val="000000"/>
          <w:sz w:val="18"/>
          <w:szCs w:val="18"/>
        </w:rPr>
        <w:t xml:space="preserve"> </w:t>
      </w:r>
      <w:r>
        <w:rPr>
          <w:rStyle w:val="126"/>
          <w:rFonts w:ascii="Arial" w:hAnsi="Arial" w:cs="Arial"/>
          <w:color w:val="000000"/>
          <w:sz w:val="18"/>
          <w:szCs w:val="18"/>
        </w:rPr>
        <w:t>nuk</w:t>
      </w:r>
      <w:r>
        <w:rPr>
          <w:rFonts w:ascii="Arial" w:hAnsi="Arial" w:cs="Arial"/>
          <w:color w:val="000000"/>
          <w:sz w:val="18"/>
          <w:szCs w:val="18"/>
        </w:rPr>
        <w:t xml:space="preserve"> </w:t>
      </w:r>
      <w:r>
        <w:rPr>
          <w:rStyle w:val="126"/>
          <w:rFonts w:ascii="Arial" w:hAnsi="Arial" w:cs="Arial"/>
          <w:color w:val="000000"/>
          <w:sz w:val="18"/>
          <w:szCs w:val="18"/>
        </w:rPr>
        <w:t>e ka</w:t>
      </w:r>
      <w:r>
        <w:rPr>
          <w:rFonts w:ascii="Arial" w:hAnsi="Arial" w:cs="Arial"/>
          <w:color w:val="000000"/>
          <w:sz w:val="18"/>
          <w:szCs w:val="18"/>
        </w:rPr>
        <w:t xml:space="preserve"> </w:t>
      </w:r>
      <w:r>
        <w:rPr>
          <w:rStyle w:val="126"/>
          <w:rFonts w:ascii="Arial" w:hAnsi="Arial" w:cs="Arial"/>
          <w:color w:val="000000"/>
          <w:sz w:val="18"/>
          <w:szCs w:val="18"/>
        </w:rPr>
        <w:t>korrigjuar</w:t>
      </w:r>
      <w:r>
        <w:rPr>
          <w:rFonts w:ascii="Arial" w:hAnsi="Arial" w:cs="Arial"/>
          <w:color w:val="000000"/>
          <w:sz w:val="18"/>
          <w:szCs w:val="18"/>
        </w:rPr>
        <w:t xml:space="preserve"> </w:t>
      </w:r>
      <w:r>
        <w:rPr>
          <w:rStyle w:val="126"/>
          <w:rFonts w:ascii="Arial" w:hAnsi="Arial" w:cs="Arial"/>
          <w:color w:val="000000"/>
          <w:sz w:val="18"/>
          <w:szCs w:val="18"/>
        </w:rPr>
        <w:t>defektin</w:t>
      </w:r>
      <w:r>
        <w:rPr>
          <w:rFonts w:ascii="Arial" w:hAnsi="Arial" w:cs="Arial"/>
          <w:color w:val="000000"/>
          <w:sz w:val="18"/>
          <w:szCs w:val="18"/>
        </w:rPr>
        <w:t xml:space="preserve"> </w:t>
      </w:r>
      <w:r>
        <w:rPr>
          <w:rStyle w:val="126"/>
          <w:rFonts w:ascii="Arial" w:hAnsi="Arial" w:cs="Arial"/>
          <w:color w:val="000000"/>
          <w:sz w:val="18"/>
          <w:szCs w:val="18"/>
        </w:rPr>
        <w:t>brenda kohës së</w:t>
      </w:r>
      <w:r>
        <w:rPr>
          <w:rFonts w:ascii="Arial" w:hAnsi="Arial" w:cs="Arial"/>
          <w:color w:val="000000"/>
          <w:sz w:val="18"/>
          <w:szCs w:val="18"/>
        </w:rPr>
        <w:t xml:space="preserve"> </w:t>
      </w:r>
      <w:r>
        <w:rPr>
          <w:rStyle w:val="126"/>
          <w:rFonts w:ascii="Arial" w:hAnsi="Arial" w:cs="Arial"/>
          <w:color w:val="000000"/>
          <w:sz w:val="18"/>
          <w:szCs w:val="18"/>
        </w:rPr>
        <w:t>specifikuar</w:t>
      </w:r>
      <w:r>
        <w:rPr>
          <w:rFonts w:ascii="Arial" w:hAnsi="Arial" w:cs="Arial"/>
          <w:color w:val="000000"/>
          <w:sz w:val="18"/>
          <w:szCs w:val="18"/>
        </w:rPr>
        <w:t xml:space="preserve"> </w:t>
      </w:r>
      <w:r>
        <w:rPr>
          <w:rStyle w:val="126"/>
          <w:rFonts w:ascii="Arial" w:hAnsi="Arial" w:cs="Arial"/>
          <w:color w:val="000000"/>
          <w:sz w:val="18"/>
          <w:szCs w:val="18"/>
        </w:rPr>
        <w:t>në</w:t>
      </w:r>
      <w:r>
        <w:rPr>
          <w:rFonts w:ascii="Arial" w:hAnsi="Arial" w:cs="Arial"/>
          <w:color w:val="000000"/>
          <w:sz w:val="18"/>
          <w:szCs w:val="18"/>
        </w:rPr>
        <w:t xml:space="preserve"> </w:t>
      </w:r>
      <w:r>
        <w:rPr>
          <w:rStyle w:val="126"/>
          <w:rFonts w:ascii="Arial" w:hAnsi="Arial" w:cs="Arial"/>
          <w:color w:val="000000"/>
          <w:sz w:val="18"/>
          <w:szCs w:val="18"/>
        </w:rPr>
        <w:t>njoftimin</w:t>
      </w:r>
      <w:r>
        <w:rPr>
          <w:rFonts w:ascii="Arial" w:hAnsi="Arial" w:cs="Arial"/>
          <w:color w:val="000000"/>
          <w:sz w:val="18"/>
          <w:szCs w:val="18"/>
        </w:rPr>
        <w:t xml:space="preserve"> </w:t>
      </w:r>
      <w:r>
        <w:rPr>
          <w:rStyle w:val="126"/>
          <w:rFonts w:ascii="Arial" w:hAnsi="Arial" w:cs="Arial"/>
          <w:color w:val="000000"/>
          <w:sz w:val="18"/>
          <w:szCs w:val="18"/>
        </w:rPr>
        <w:t>e Autoritetit Kontraktues</w:t>
      </w:r>
      <w:r>
        <w:rPr>
          <w:rFonts w:ascii="Arial" w:hAnsi="Arial" w:cs="Arial"/>
          <w:color w:val="000000"/>
          <w:sz w:val="18"/>
          <w:szCs w:val="18"/>
        </w:rPr>
        <w:t xml:space="preserve">, </w:t>
      </w:r>
      <w:r>
        <w:rPr>
          <w:rStyle w:val="126"/>
          <w:rFonts w:ascii="Arial" w:hAnsi="Arial" w:cs="Arial"/>
          <w:color w:val="000000"/>
          <w:sz w:val="18"/>
          <w:szCs w:val="18"/>
        </w:rPr>
        <w:t>Autoriteti Kontraktues</w:t>
      </w:r>
      <w:r>
        <w:rPr>
          <w:rFonts w:ascii="Arial" w:hAnsi="Arial" w:cs="Arial"/>
          <w:color w:val="000000"/>
          <w:sz w:val="18"/>
          <w:szCs w:val="18"/>
        </w:rPr>
        <w:t xml:space="preserve"> </w:t>
      </w:r>
      <w:r>
        <w:rPr>
          <w:rStyle w:val="126"/>
          <w:rFonts w:ascii="Arial" w:hAnsi="Arial" w:cs="Arial"/>
          <w:color w:val="000000"/>
          <w:sz w:val="18"/>
          <w:szCs w:val="18"/>
        </w:rPr>
        <w:t>do</w:t>
      </w:r>
      <w:r>
        <w:rPr>
          <w:rFonts w:ascii="Arial" w:hAnsi="Arial" w:cs="Arial"/>
          <w:color w:val="000000"/>
          <w:sz w:val="18"/>
          <w:szCs w:val="18"/>
        </w:rPr>
        <w:t xml:space="preserve"> </w:t>
      </w:r>
      <w:r>
        <w:rPr>
          <w:rStyle w:val="126"/>
          <w:rFonts w:ascii="Arial" w:hAnsi="Arial" w:cs="Arial"/>
          <w:color w:val="000000"/>
          <w:sz w:val="18"/>
          <w:szCs w:val="18"/>
        </w:rPr>
        <w:t>të vlerësojë</w:t>
      </w:r>
      <w:r>
        <w:rPr>
          <w:rFonts w:ascii="Arial" w:hAnsi="Arial" w:cs="Arial"/>
          <w:color w:val="000000"/>
          <w:sz w:val="18"/>
          <w:szCs w:val="18"/>
        </w:rPr>
        <w:t xml:space="preserve"> </w:t>
      </w:r>
      <w:r>
        <w:rPr>
          <w:rStyle w:val="126"/>
          <w:rFonts w:ascii="Arial" w:hAnsi="Arial" w:cs="Arial"/>
          <w:color w:val="000000"/>
          <w:sz w:val="18"/>
          <w:szCs w:val="18"/>
        </w:rPr>
        <w:t>koston</w:t>
      </w:r>
      <w:r>
        <w:rPr>
          <w:rFonts w:ascii="Arial" w:hAnsi="Arial" w:cs="Arial"/>
          <w:color w:val="000000"/>
          <w:sz w:val="18"/>
          <w:szCs w:val="18"/>
        </w:rPr>
        <w:t xml:space="preserve"> </w:t>
      </w:r>
      <w:r>
        <w:rPr>
          <w:rStyle w:val="126"/>
          <w:rFonts w:ascii="Arial" w:hAnsi="Arial" w:cs="Arial"/>
          <w:color w:val="000000"/>
          <w:sz w:val="18"/>
          <w:szCs w:val="18"/>
        </w:rPr>
        <w:t>e korrigjimit të defektit</w:t>
      </w:r>
      <w:r>
        <w:rPr>
          <w:rFonts w:ascii="Arial" w:hAnsi="Arial" w:cs="Arial"/>
          <w:color w:val="000000"/>
          <w:sz w:val="18"/>
          <w:szCs w:val="18"/>
        </w:rPr>
        <w:t xml:space="preserve">, ofruesi i </w:t>
      </w:r>
      <w:r>
        <w:rPr>
          <w:rStyle w:val="126"/>
          <w:rFonts w:ascii="Arial" w:hAnsi="Arial" w:cs="Arial"/>
          <w:color w:val="000000"/>
          <w:sz w:val="18"/>
          <w:szCs w:val="18"/>
        </w:rPr>
        <w:t>shërbimeve</w:t>
      </w:r>
      <w:r>
        <w:rPr>
          <w:rFonts w:ascii="Arial" w:hAnsi="Arial" w:cs="Arial"/>
          <w:color w:val="000000"/>
          <w:sz w:val="18"/>
          <w:szCs w:val="18"/>
        </w:rPr>
        <w:t xml:space="preserve"> </w:t>
      </w:r>
      <w:r>
        <w:rPr>
          <w:rStyle w:val="126"/>
          <w:rFonts w:ascii="Arial" w:hAnsi="Arial" w:cs="Arial"/>
          <w:color w:val="000000"/>
          <w:sz w:val="18"/>
          <w:szCs w:val="18"/>
        </w:rPr>
        <w:t>do të</w:t>
      </w:r>
      <w:r>
        <w:rPr>
          <w:rFonts w:ascii="Arial" w:hAnsi="Arial" w:cs="Arial"/>
          <w:color w:val="000000"/>
          <w:sz w:val="18"/>
          <w:szCs w:val="18"/>
        </w:rPr>
        <w:t xml:space="preserve"> </w:t>
      </w:r>
      <w:r>
        <w:rPr>
          <w:rStyle w:val="126"/>
          <w:rFonts w:ascii="Arial" w:hAnsi="Arial" w:cs="Arial"/>
          <w:color w:val="000000"/>
          <w:sz w:val="18"/>
          <w:szCs w:val="18"/>
        </w:rPr>
        <w:t>paguaj</w:t>
      </w:r>
      <w:r>
        <w:rPr>
          <w:rFonts w:ascii="Arial" w:hAnsi="Arial" w:cs="Arial"/>
          <w:color w:val="000000"/>
          <w:sz w:val="18"/>
          <w:szCs w:val="18"/>
        </w:rPr>
        <w:t xml:space="preserve"> </w:t>
      </w:r>
      <w:r>
        <w:rPr>
          <w:rStyle w:val="126"/>
          <w:rFonts w:ascii="Arial" w:hAnsi="Arial" w:cs="Arial"/>
          <w:color w:val="000000"/>
          <w:sz w:val="18"/>
          <w:szCs w:val="18"/>
        </w:rPr>
        <w:t>këtë</w:t>
      </w:r>
      <w:r>
        <w:rPr>
          <w:rFonts w:ascii="Arial" w:hAnsi="Arial" w:cs="Arial"/>
          <w:color w:val="000000"/>
          <w:sz w:val="18"/>
          <w:szCs w:val="18"/>
        </w:rPr>
        <w:t xml:space="preserve"> </w:t>
      </w:r>
      <w:r>
        <w:rPr>
          <w:rStyle w:val="126"/>
          <w:rFonts w:ascii="Arial" w:hAnsi="Arial" w:cs="Arial"/>
          <w:color w:val="000000"/>
          <w:sz w:val="18"/>
          <w:szCs w:val="18"/>
        </w:rPr>
        <w:t>shumë</w:t>
      </w:r>
      <w:r>
        <w:rPr>
          <w:rFonts w:ascii="Arial" w:hAnsi="Arial" w:cs="Arial"/>
          <w:color w:val="000000"/>
          <w:sz w:val="18"/>
          <w:szCs w:val="18"/>
        </w:rPr>
        <w:t xml:space="preserve">, </w:t>
      </w:r>
      <w:r>
        <w:rPr>
          <w:rStyle w:val="126"/>
          <w:rFonts w:ascii="Arial" w:hAnsi="Arial" w:cs="Arial"/>
          <w:color w:val="000000"/>
          <w:sz w:val="18"/>
          <w:szCs w:val="18"/>
        </w:rPr>
        <w:t>dhe</w:t>
      </w:r>
      <w:r>
        <w:rPr>
          <w:rFonts w:ascii="Arial" w:hAnsi="Arial" w:cs="Arial"/>
          <w:color w:val="000000"/>
          <w:sz w:val="18"/>
          <w:szCs w:val="18"/>
        </w:rPr>
        <w:t xml:space="preserve"> do pasoj </w:t>
      </w:r>
      <w:r>
        <w:rPr>
          <w:rStyle w:val="126"/>
          <w:rFonts w:ascii="Arial" w:hAnsi="Arial" w:cs="Arial"/>
          <w:color w:val="000000"/>
          <w:sz w:val="18"/>
          <w:szCs w:val="18"/>
        </w:rPr>
        <w:t>një</w:t>
      </w:r>
      <w:r>
        <w:rPr>
          <w:rFonts w:ascii="Arial" w:hAnsi="Arial" w:cs="Arial"/>
          <w:color w:val="000000"/>
          <w:sz w:val="18"/>
          <w:szCs w:val="18"/>
        </w:rPr>
        <w:t xml:space="preserve"> </w:t>
      </w:r>
      <w:r>
        <w:rPr>
          <w:rStyle w:val="126"/>
          <w:rFonts w:ascii="Arial" w:hAnsi="Arial" w:cs="Arial"/>
          <w:color w:val="000000"/>
          <w:sz w:val="18"/>
          <w:szCs w:val="18"/>
        </w:rPr>
        <w:t>dënim</w:t>
      </w:r>
      <w:r>
        <w:rPr>
          <w:rFonts w:ascii="Arial" w:hAnsi="Arial" w:cs="Arial"/>
          <w:color w:val="000000"/>
          <w:sz w:val="18"/>
          <w:szCs w:val="18"/>
        </w:rPr>
        <w:t xml:space="preserve"> </w:t>
      </w:r>
      <w:r>
        <w:rPr>
          <w:rStyle w:val="126"/>
          <w:rFonts w:ascii="Arial" w:hAnsi="Arial" w:cs="Arial"/>
          <w:color w:val="000000"/>
          <w:sz w:val="18"/>
          <w:szCs w:val="18"/>
        </w:rPr>
        <w:t>për mungesë</w:t>
      </w:r>
      <w:r>
        <w:rPr>
          <w:rFonts w:ascii="Arial" w:hAnsi="Arial" w:cs="Arial"/>
          <w:color w:val="000000"/>
          <w:sz w:val="18"/>
          <w:szCs w:val="18"/>
        </w:rPr>
        <w:t xml:space="preserve"> </w:t>
      </w:r>
      <w:r>
        <w:rPr>
          <w:rStyle w:val="126"/>
          <w:rFonts w:ascii="Arial" w:hAnsi="Arial" w:cs="Arial"/>
          <w:color w:val="000000"/>
          <w:sz w:val="18"/>
          <w:szCs w:val="18"/>
        </w:rPr>
        <w:t>Ekzekutimi</w:t>
      </w:r>
      <w:r>
        <w:rPr>
          <w:rFonts w:ascii="Arial" w:hAnsi="Arial" w:cs="Arial"/>
          <w:color w:val="000000"/>
          <w:sz w:val="18"/>
          <w:szCs w:val="18"/>
        </w:rPr>
        <w:t xml:space="preserve"> që </w:t>
      </w:r>
      <w:r>
        <w:rPr>
          <w:rStyle w:val="126"/>
          <w:rFonts w:ascii="Arial" w:hAnsi="Arial" w:cs="Arial"/>
          <w:color w:val="000000"/>
          <w:sz w:val="18"/>
          <w:szCs w:val="18"/>
        </w:rPr>
        <w:t>llogaritet</w:t>
      </w:r>
      <w:r>
        <w:rPr>
          <w:rFonts w:ascii="Arial" w:hAnsi="Arial" w:cs="Arial"/>
          <w:color w:val="000000"/>
          <w:sz w:val="18"/>
          <w:szCs w:val="18"/>
        </w:rPr>
        <w:t xml:space="preserve"> </w:t>
      </w:r>
      <w:r>
        <w:rPr>
          <w:rStyle w:val="126"/>
          <w:rFonts w:ascii="Arial" w:hAnsi="Arial" w:cs="Arial"/>
          <w:color w:val="000000"/>
          <w:sz w:val="18"/>
          <w:szCs w:val="18"/>
        </w:rPr>
        <w:t>siç përshkruhet në</w:t>
      </w:r>
      <w:r>
        <w:rPr>
          <w:rFonts w:ascii="Arial" w:hAnsi="Arial" w:cs="Arial"/>
          <w:color w:val="000000"/>
          <w:sz w:val="18"/>
          <w:szCs w:val="18"/>
        </w:rPr>
        <w:t xml:space="preserve"> </w:t>
      </w:r>
      <w:r>
        <w:rPr>
          <w:rStyle w:val="126"/>
          <w:rFonts w:ascii="Arial" w:hAnsi="Arial" w:cs="Arial"/>
          <w:color w:val="000000"/>
          <w:sz w:val="18"/>
          <w:szCs w:val="18"/>
        </w:rPr>
        <w:t>nenin</w:t>
      </w:r>
      <w:r>
        <w:rPr>
          <w:rFonts w:ascii="Arial" w:hAnsi="Arial" w:cs="Arial"/>
          <w:color w:val="000000"/>
          <w:sz w:val="18"/>
          <w:szCs w:val="18"/>
        </w:rPr>
        <w:t xml:space="preserve"> </w:t>
      </w:r>
      <w:r>
        <w:rPr>
          <w:rStyle w:val="126"/>
          <w:rFonts w:ascii="Arial" w:hAnsi="Arial" w:cs="Arial"/>
          <w:color w:val="000000"/>
          <w:sz w:val="18"/>
          <w:szCs w:val="18"/>
        </w:rPr>
        <w:t>13.1</w:t>
      </w:r>
      <w:r>
        <w:rPr>
          <w:rFonts w:ascii="Arial" w:hAnsi="Arial" w:cs="Arial"/>
          <w:color w:val="000000"/>
          <w:sz w:val="18"/>
          <w:szCs w:val="18"/>
        </w:rPr>
        <w:t>.</w:t>
      </w:r>
    </w:p>
    <w:p w14:paraId="3D2FA6C1">
      <w:pPr>
        <w:spacing w:after="120"/>
        <w:rPr>
          <w:rFonts w:ascii="Arial" w:hAnsi="Arial" w:cs="Arial"/>
          <w:b/>
          <w:sz w:val="18"/>
          <w:szCs w:val="18"/>
        </w:rPr>
      </w:pPr>
      <w:r>
        <w:rPr>
          <w:rFonts w:ascii="Arial" w:hAnsi="Arial" w:cs="Arial"/>
          <w:b/>
          <w:sz w:val="18"/>
          <w:szCs w:val="18"/>
        </w:rPr>
        <w:t>Neni 19</w:t>
      </w:r>
      <w:r>
        <w:rPr>
          <w:rFonts w:ascii="Arial" w:hAnsi="Arial" w:cs="Arial"/>
          <w:b/>
          <w:sz w:val="18"/>
          <w:szCs w:val="18"/>
        </w:rPr>
        <w:tab/>
      </w:r>
      <w:r>
        <w:rPr>
          <w:rFonts w:ascii="Arial" w:hAnsi="Arial" w:cs="Arial"/>
          <w:b/>
          <w:sz w:val="18"/>
          <w:szCs w:val="18"/>
        </w:rPr>
        <w:t xml:space="preserve">            Konsekuencat e Shkeljes se kontratës </w:t>
      </w:r>
    </w:p>
    <w:p w14:paraId="681D0F4E">
      <w:pPr>
        <w:widowControl w:val="0"/>
        <w:spacing w:after="120"/>
        <w:ind w:right="113"/>
        <w:rPr>
          <w:rFonts w:ascii="Arial" w:hAnsi="Arial" w:cs="Arial"/>
          <w:sz w:val="18"/>
          <w:szCs w:val="18"/>
        </w:rPr>
      </w:pPr>
      <w:r>
        <w:rPr>
          <w:rFonts w:ascii="Arial" w:hAnsi="Arial" w:cs="Arial"/>
          <w:sz w:val="18"/>
          <w:szCs w:val="18"/>
        </w:rPr>
        <w:t>19.1 Pala ka shkelë kontratën nëse nuk arrin të shlyejë ndonjë nga obligimet e veta me kontratë siç është cekur ne Nenin 9 dhe 10.</w:t>
      </w:r>
    </w:p>
    <w:p w14:paraId="3DE11155">
      <w:pPr>
        <w:widowControl w:val="0"/>
        <w:spacing w:after="120"/>
        <w:ind w:right="113"/>
        <w:rPr>
          <w:rFonts w:ascii="Arial" w:hAnsi="Arial" w:cs="Arial"/>
          <w:sz w:val="18"/>
          <w:szCs w:val="18"/>
        </w:rPr>
      </w:pPr>
      <w:r>
        <w:rPr>
          <w:rFonts w:ascii="Arial" w:hAnsi="Arial" w:cs="Arial"/>
          <w:sz w:val="18"/>
          <w:szCs w:val="18"/>
        </w:rPr>
        <w:t>19.2 Në rastet kur ndodh një shkelje e kontratës, pala e dëmtuar do të ketë të drejtë për këto kompensime:</w:t>
      </w:r>
    </w:p>
    <w:p w14:paraId="7E62B63A">
      <w:pPr>
        <w:widowControl w:val="0"/>
        <w:tabs>
          <w:tab w:val="left" w:pos="851"/>
        </w:tabs>
        <w:spacing w:after="120"/>
        <w:ind w:left="720" w:right="113"/>
        <w:rPr>
          <w:rFonts w:ascii="Arial" w:hAnsi="Arial" w:cs="Arial"/>
          <w:sz w:val="18"/>
          <w:szCs w:val="18"/>
        </w:rPr>
      </w:pPr>
      <w:r>
        <w:rPr>
          <w:rFonts w:ascii="Arial" w:hAnsi="Arial" w:cs="Arial"/>
          <w:sz w:val="18"/>
          <w:szCs w:val="18"/>
        </w:rPr>
        <w:t>a) dëmet; dhe/ose</w:t>
      </w:r>
    </w:p>
    <w:p w14:paraId="2BF5D2CC">
      <w:pPr>
        <w:widowControl w:val="0"/>
        <w:tabs>
          <w:tab w:val="left" w:pos="851"/>
        </w:tabs>
        <w:spacing w:after="120"/>
        <w:ind w:left="720" w:right="113"/>
        <w:rPr>
          <w:rFonts w:ascii="Arial" w:hAnsi="Arial" w:cs="Arial"/>
          <w:sz w:val="18"/>
          <w:szCs w:val="18"/>
        </w:rPr>
      </w:pPr>
      <w:r>
        <w:rPr>
          <w:rFonts w:ascii="Arial" w:hAnsi="Arial" w:cs="Arial"/>
          <w:sz w:val="18"/>
          <w:szCs w:val="18"/>
        </w:rPr>
        <w:t>b) ndërprerjen e kontratës.</w:t>
      </w:r>
    </w:p>
    <w:p w14:paraId="10A49C2D">
      <w:pPr>
        <w:tabs>
          <w:tab w:val="left" w:pos="615"/>
          <w:tab w:val="right" w:pos="4950"/>
        </w:tabs>
        <w:spacing w:after="120"/>
        <w:rPr>
          <w:rFonts w:ascii="Arial" w:hAnsi="Arial" w:cs="Arial"/>
          <w:sz w:val="18"/>
          <w:szCs w:val="18"/>
        </w:rPr>
      </w:pPr>
      <w:r>
        <w:rPr>
          <w:rFonts w:ascii="Arial" w:hAnsi="Arial" w:cs="Arial"/>
          <w:sz w:val="18"/>
          <w:szCs w:val="18"/>
        </w:rPr>
        <w:t>19.3 Përveç masave të sipërpërmendura, mund të jepen dëmshpërblime. Ato mund të jenë:</w:t>
      </w:r>
    </w:p>
    <w:p w14:paraId="16082971">
      <w:pPr>
        <w:widowControl w:val="0"/>
        <w:spacing w:after="120"/>
        <w:ind w:left="284" w:firstLine="436"/>
        <w:rPr>
          <w:rFonts w:ascii="Arial" w:hAnsi="Arial" w:cs="Arial"/>
          <w:sz w:val="18"/>
          <w:szCs w:val="18"/>
        </w:rPr>
      </w:pPr>
      <w:r>
        <w:rPr>
          <w:rFonts w:ascii="Arial" w:hAnsi="Arial" w:cs="Arial"/>
          <w:sz w:val="18"/>
          <w:szCs w:val="18"/>
        </w:rPr>
        <w:t>a) Dëme të përgjithshme; ose</w:t>
      </w:r>
    </w:p>
    <w:p w14:paraId="522A8547">
      <w:pPr>
        <w:widowControl w:val="0"/>
        <w:spacing w:after="120"/>
        <w:ind w:left="284" w:firstLine="436"/>
        <w:rPr>
          <w:rFonts w:ascii="Arial" w:hAnsi="Arial" w:cs="Arial"/>
          <w:sz w:val="18"/>
          <w:szCs w:val="18"/>
        </w:rPr>
      </w:pPr>
      <w:r>
        <w:rPr>
          <w:rFonts w:ascii="Arial" w:hAnsi="Arial" w:cs="Arial"/>
          <w:sz w:val="18"/>
          <w:szCs w:val="18"/>
        </w:rPr>
        <w:t>b) Dëme të likuidueshme.</w:t>
      </w:r>
    </w:p>
    <w:p w14:paraId="4447DB98">
      <w:pPr>
        <w:tabs>
          <w:tab w:val="left" w:pos="615"/>
          <w:tab w:val="left" w:pos="5130"/>
          <w:tab w:val="right" w:pos="9885"/>
        </w:tabs>
        <w:rPr>
          <w:rFonts w:ascii="Arial" w:hAnsi="Arial" w:cs="Arial"/>
          <w:sz w:val="18"/>
          <w:szCs w:val="18"/>
        </w:rPr>
      </w:pPr>
      <w:r>
        <w:rPr>
          <w:rFonts w:ascii="Arial" w:hAnsi="Arial" w:cs="Arial"/>
          <w:sz w:val="18"/>
          <w:szCs w:val="18"/>
        </w:rPr>
        <w:t>19.4 Mbulimi i dëmeve, pagesat apo shpenzimet që rezultojnë nga zbatimi i masave të parapara në këtë nen do të zbatohen duke u zbritur nga shumat që duhet t’i paguhen Ofruesit të Shërbimeve, nga depozita, ose me pagesë nga siguria.</w:t>
      </w:r>
    </w:p>
    <w:p w14:paraId="13C03827">
      <w:pPr>
        <w:widowControl w:val="0"/>
        <w:spacing w:after="120"/>
        <w:rPr>
          <w:rFonts w:ascii="Arial" w:hAnsi="Arial" w:cs="Arial"/>
          <w:b/>
          <w:sz w:val="18"/>
          <w:szCs w:val="18"/>
        </w:rPr>
      </w:pPr>
      <w:r>
        <w:rPr>
          <w:rFonts w:ascii="Arial" w:hAnsi="Arial" w:cs="Arial"/>
          <w:b/>
          <w:sz w:val="18"/>
          <w:szCs w:val="18"/>
        </w:rPr>
        <w:t>Neni 20</w:t>
      </w:r>
      <w:r>
        <w:rPr>
          <w:rFonts w:ascii="Arial" w:hAnsi="Arial" w:cs="Arial"/>
          <w:b/>
          <w:sz w:val="18"/>
          <w:szCs w:val="18"/>
        </w:rPr>
        <w:tab/>
      </w:r>
      <w:r>
        <w:rPr>
          <w:rFonts w:ascii="Arial" w:hAnsi="Arial" w:cs="Arial"/>
          <w:b/>
          <w:sz w:val="18"/>
          <w:szCs w:val="18"/>
        </w:rPr>
        <w:t xml:space="preserve">             Zgjidhja miqësore e mosmarrëveshjeve</w:t>
      </w:r>
    </w:p>
    <w:p w14:paraId="5036F327">
      <w:pPr>
        <w:spacing w:after="120"/>
        <w:rPr>
          <w:rFonts w:ascii="Arial" w:hAnsi="Arial" w:cs="Arial"/>
          <w:sz w:val="18"/>
          <w:szCs w:val="18"/>
        </w:rPr>
      </w:pPr>
      <w:r>
        <w:rPr>
          <w:rFonts w:ascii="Arial" w:hAnsi="Arial" w:cs="Arial"/>
          <w:sz w:val="18"/>
          <w:szCs w:val="18"/>
        </w:rPr>
        <w:t>20.1 Palët duhet t’i bëjnë të gjitha përpjeke për të zgjidhur në mënyrë miqësore të gjitha mosmarrëveshjet që mund të ndodhin ndërmjet tyre. Sapo të shfaqet ndonjë mosmarrëveshje, palët do ta lajmërojnë njëra tjetrën me shkrim për qëndrimet  e tyre në mosmarrëveshje dhe për ndonjë zgjidhje që ata konsiderojnë se është e mundshme. Nëse cilado palë e sheh të dobishme, palët do të takohen dhe të mundohen ta zgjidhin mosmarrëveshjen. Pala do të i përgjigjet kërkesës për zgjidhje miqësore brenda 15 ditësh pas kërkesës. Periudha maksimale që jepet për arritjen e kësaj zgjidhjeje do të jetë 30 ditë nga fillimi i procedurës. Nëse përpjekja për të arritur zgjidhje miqësore dështon ose nëse pala dështon të përgjigjet me kohë ndaj kërkesave për zgjidhje, të dyja palët do të jenë të lira të vazhdojnë në fazën e ardhshme të procedurës së zgjidhjes së mosmarrëveshjes duke e lajmëruar tjetrën.</w:t>
      </w:r>
    </w:p>
    <w:p w14:paraId="671B07D7">
      <w:pPr>
        <w:spacing w:after="120"/>
        <w:rPr>
          <w:rFonts w:ascii="Arial" w:hAnsi="Arial" w:cs="Arial"/>
          <w:sz w:val="18"/>
          <w:szCs w:val="18"/>
        </w:rPr>
      </w:pPr>
      <w:r>
        <w:rPr>
          <w:rFonts w:ascii="Arial" w:hAnsi="Arial" w:cs="Arial"/>
          <w:sz w:val="18"/>
          <w:szCs w:val="18"/>
        </w:rPr>
        <w:t>20.2 Nëse procedura e zgjidhjes miqësore të mosmarrëveshjes dështon, palët mund të merren vesh të përpiqen të pajtohen përmes institucionit të specifikuar në KVK. Nëse nuk mund të arrihet zgjidhja brenda 30 ditësh pas fillimit të procedurës së pajtimit, secila palë do të ketë të drejtë të vazhdojë në fazën e ardhshme të procedurës së zgjidhjes së mosmarrëveshjes.</w:t>
      </w:r>
    </w:p>
    <w:p w14:paraId="1308B9CC">
      <w:pPr>
        <w:spacing w:after="120"/>
        <w:rPr>
          <w:rFonts w:ascii="Arial" w:hAnsi="Arial" w:cs="Arial"/>
          <w:sz w:val="18"/>
          <w:szCs w:val="18"/>
        </w:rPr>
      </w:pPr>
    </w:p>
    <w:p w14:paraId="50CC6FCB">
      <w:pPr>
        <w:spacing w:after="120"/>
        <w:rPr>
          <w:rFonts w:ascii="Arial" w:hAnsi="Arial" w:cs="Arial"/>
          <w:b/>
          <w:sz w:val="18"/>
          <w:szCs w:val="18"/>
        </w:rPr>
      </w:pPr>
      <w:r>
        <w:rPr>
          <w:rFonts w:ascii="Arial" w:hAnsi="Arial" w:cs="Arial"/>
          <w:b/>
          <w:sz w:val="18"/>
          <w:szCs w:val="18"/>
        </w:rPr>
        <w:t>Neni 21</w:t>
      </w:r>
      <w:r>
        <w:rPr>
          <w:rFonts w:ascii="Arial" w:hAnsi="Arial" w:cs="Arial"/>
          <w:b/>
          <w:sz w:val="18"/>
          <w:szCs w:val="18"/>
        </w:rPr>
        <w:tab/>
      </w:r>
      <w:r>
        <w:rPr>
          <w:rFonts w:ascii="Arial" w:hAnsi="Arial" w:cs="Arial"/>
          <w:b/>
          <w:sz w:val="18"/>
          <w:szCs w:val="18"/>
        </w:rPr>
        <w:t xml:space="preserve">             Zgjidhja e mosmarrëveshjeve me procedurë gjyqësore</w:t>
      </w:r>
      <w:r>
        <w:rPr>
          <w:rFonts w:ascii="Arial" w:hAnsi="Arial" w:cs="Arial"/>
          <w:sz w:val="18"/>
          <w:szCs w:val="18"/>
        </w:rPr>
        <w:t xml:space="preserve"> </w:t>
      </w:r>
    </w:p>
    <w:p w14:paraId="4DE9B0C9">
      <w:pPr>
        <w:tabs>
          <w:tab w:val="left" w:pos="1417"/>
          <w:tab w:val="left" w:pos="2126"/>
          <w:tab w:val="left" w:pos="2835"/>
        </w:tabs>
        <w:spacing w:after="120"/>
        <w:rPr>
          <w:rFonts w:ascii="Arial" w:hAnsi="Arial" w:cs="Arial"/>
          <w:sz w:val="18"/>
          <w:szCs w:val="18"/>
        </w:rPr>
      </w:pPr>
      <w:r>
        <w:rPr>
          <w:rFonts w:ascii="Arial" w:hAnsi="Arial" w:cs="Arial"/>
          <w:sz w:val="18"/>
          <w:szCs w:val="18"/>
        </w:rPr>
        <w:t>21.1 Nëse nuk mund të arrihet zgjidhje brenda 30 ditësh nga fillimi i procedurës miqësore për zgjidhje të mosmarrëveshjes, secila palë mund të kërkojë:</w:t>
      </w:r>
    </w:p>
    <w:p w14:paraId="192FFA65">
      <w:pPr>
        <w:spacing w:after="120"/>
        <w:ind w:left="284"/>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rPr>
        <w:t xml:space="preserve">vendim nga gjyqi; ose </w:t>
      </w:r>
    </w:p>
    <w:p w14:paraId="60A5B354">
      <w:pPr>
        <w:spacing w:after="120"/>
        <w:ind w:left="284"/>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sz w:val="18"/>
          <w:szCs w:val="18"/>
        </w:rPr>
        <w:t>kurdo qe palët pajtohen vendim arbitrimi në pajtim me KVK.</w:t>
      </w:r>
    </w:p>
    <w:p w14:paraId="4FDD9806">
      <w:pPr>
        <w:widowControl w:val="0"/>
        <w:spacing w:after="120"/>
        <w:rPr>
          <w:rFonts w:ascii="Arial" w:hAnsi="Arial" w:cs="Arial"/>
          <w:sz w:val="18"/>
          <w:szCs w:val="18"/>
        </w:rPr>
      </w:pPr>
    </w:p>
    <w:p w14:paraId="031DF759">
      <w:pPr>
        <w:spacing w:after="120"/>
        <w:rPr>
          <w:rFonts w:ascii="Arial" w:hAnsi="Arial" w:cs="Arial"/>
          <w:sz w:val="18"/>
          <w:szCs w:val="18"/>
        </w:rPr>
      </w:pPr>
      <w:r>
        <w:rPr>
          <w:rFonts w:ascii="Arial" w:hAnsi="Arial" w:cs="Arial"/>
          <w:sz w:val="18"/>
          <w:szCs w:val="18"/>
        </w:rPr>
        <w:t xml:space="preserve">21.2 Para nënshkrimit te kontratës palët duhet te vendosin për mënyrën e zgjidhjes se mosmarrëveshjes, gjykata apo arbitrimi. </w:t>
      </w:r>
    </w:p>
    <w:p w14:paraId="2FA6CAA7">
      <w:pPr>
        <w:widowControl w:val="0"/>
        <w:spacing w:after="120"/>
        <w:rPr>
          <w:rFonts w:ascii="Arial" w:hAnsi="Arial" w:cs="Arial"/>
          <w:b/>
          <w:sz w:val="18"/>
          <w:szCs w:val="18"/>
        </w:rPr>
      </w:pPr>
    </w:p>
    <w:p w14:paraId="2CB940CA">
      <w:pPr>
        <w:widowControl w:val="0"/>
        <w:spacing w:after="120"/>
        <w:rPr>
          <w:rStyle w:val="128"/>
          <w:rFonts w:ascii="Arial" w:hAnsi="Arial" w:cs="Arial"/>
          <w:b/>
          <w:sz w:val="18"/>
          <w:szCs w:val="18"/>
          <w:shd w:val="clear" w:color="auto" w:fill="FFFFFF"/>
        </w:rPr>
      </w:pPr>
      <w:r>
        <w:rPr>
          <w:rStyle w:val="128"/>
          <w:rFonts w:ascii="Arial" w:hAnsi="Arial" w:cs="Arial"/>
          <w:b/>
          <w:sz w:val="18"/>
          <w:szCs w:val="18"/>
          <w:shd w:val="clear" w:color="auto" w:fill="FFFFFF"/>
        </w:rPr>
        <w:t xml:space="preserve">Neni 22    Dëmshpërblimi </w:t>
      </w:r>
    </w:p>
    <w:p w14:paraId="59F740E0">
      <w:pPr>
        <w:widowControl w:val="0"/>
        <w:spacing w:after="120"/>
        <w:rPr>
          <w:rFonts w:ascii="Arial" w:hAnsi="Arial" w:cs="Arial"/>
          <w:sz w:val="18"/>
          <w:szCs w:val="18"/>
          <w:shd w:val="clear" w:color="auto" w:fill="FFFFFF"/>
        </w:rPr>
      </w:pPr>
      <w:r>
        <w:rPr>
          <w:rFonts w:ascii="Arial" w:hAnsi="Arial" w:cs="Arial"/>
          <w:sz w:val="18"/>
          <w:szCs w:val="18"/>
          <w:shd w:val="clear" w:color="auto" w:fill="FFFFFF"/>
        </w:rPr>
        <w:t xml:space="preserve">22.1 Ofruesi i shërbimeve do te mbroje dhe do te dëmshpërblej Autoritetin Kontraktues, zyrtaret e tij dhe ish zyrtaret, drejtoret, punonjësit dhe agjentet  e tij dhe do te jete përgjegjës për te gjitha shpenzimet, humbjet, demet, dhe pagesat e shkaktuara nga Autoriteti Kontraktues, duke përfshire por jo kufizuar shpenzimet e tarifës se avokateve  dhe shpenzimet ne lidhje me: </w:t>
      </w:r>
      <w:r>
        <w:rPr>
          <w:rStyle w:val="128"/>
          <w:rFonts w:ascii="Arial" w:hAnsi="Arial" w:cs="Arial"/>
          <w:sz w:val="18"/>
          <w:szCs w:val="18"/>
          <w:shd w:val="clear" w:color="auto" w:fill="FFFFFF"/>
        </w:rPr>
        <w:t>neglizhencën ose keqpërdorimet e qëllimshme nga ana e ofruesit të shërbimeve, shkeljet apo shkeljet e pretenduar nga prezantimet e Ofruesit te Shërbimeve,  pretendimet nga një palë e tretë se sigurimi i atyre  shërbimeve nga ofruesi i shërbimit apo shfrytëzimi i tyre nga apo në emër të Autoritetit Kontraktues apo përdorimi ose sigurimi i ndonjë aseti te siguruar nga ofruesi i shërbimeve në lidhje me kryerjen e shërbimeve shkel të drejtat e pronësisë intelektuale të asaj pale të tretë.</w:t>
      </w:r>
    </w:p>
    <w:p w14:paraId="7D80B3C1">
      <w:pPr>
        <w:widowControl w:val="0"/>
        <w:spacing w:after="120"/>
        <w:rPr>
          <w:rFonts w:ascii="Arial" w:hAnsi="Arial" w:cs="Arial"/>
          <w:sz w:val="18"/>
          <w:szCs w:val="18"/>
        </w:rPr>
      </w:pPr>
    </w:p>
    <w:p w14:paraId="4D7CDFE9">
      <w:pPr>
        <w:widowControl w:val="0"/>
        <w:spacing w:after="120"/>
        <w:rPr>
          <w:rFonts w:ascii="Arial" w:hAnsi="Arial" w:cs="Arial"/>
          <w:sz w:val="18"/>
          <w:szCs w:val="18"/>
        </w:rPr>
      </w:pPr>
    </w:p>
    <w:p w14:paraId="4AA6BD98">
      <w:pPr>
        <w:widowControl w:val="0"/>
        <w:spacing w:after="120"/>
        <w:rPr>
          <w:rFonts w:ascii="Arial" w:hAnsi="Arial" w:cs="Arial"/>
          <w:sz w:val="18"/>
          <w:szCs w:val="18"/>
        </w:rPr>
      </w:pPr>
    </w:p>
    <w:p w14:paraId="79C442C9">
      <w:pPr>
        <w:widowControl w:val="0"/>
        <w:spacing w:after="120"/>
        <w:rPr>
          <w:rFonts w:ascii="Arial" w:hAnsi="Arial" w:cs="Arial"/>
          <w:sz w:val="18"/>
          <w:szCs w:val="18"/>
        </w:rPr>
      </w:pPr>
    </w:p>
    <w:p w14:paraId="79431FAA">
      <w:pPr>
        <w:widowControl w:val="0"/>
        <w:spacing w:after="120"/>
        <w:rPr>
          <w:rFonts w:ascii="Arial" w:hAnsi="Arial" w:cs="Arial"/>
          <w:sz w:val="18"/>
          <w:szCs w:val="18"/>
        </w:rPr>
      </w:pPr>
    </w:p>
    <w:p w14:paraId="1F22A656">
      <w:pPr>
        <w:widowControl w:val="0"/>
        <w:spacing w:after="120"/>
        <w:rPr>
          <w:rFonts w:ascii="Arial" w:hAnsi="Arial" w:cs="Arial"/>
          <w:sz w:val="18"/>
          <w:szCs w:val="18"/>
        </w:rPr>
      </w:pPr>
    </w:p>
    <w:p w14:paraId="0F53E22C">
      <w:pPr>
        <w:widowControl w:val="0"/>
        <w:spacing w:after="120"/>
        <w:rPr>
          <w:rFonts w:ascii="Arial" w:hAnsi="Arial" w:cs="Arial"/>
          <w:sz w:val="18"/>
          <w:szCs w:val="18"/>
        </w:rPr>
      </w:pPr>
    </w:p>
    <w:p w14:paraId="20187CEA">
      <w:pPr>
        <w:widowControl w:val="0"/>
        <w:spacing w:after="120"/>
        <w:rPr>
          <w:rFonts w:ascii="Arial" w:hAnsi="Arial" w:cs="Arial"/>
          <w:sz w:val="18"/>
          <w:szCs w:val="18"/>
        </w:rPr>
      </w:pPr>
    </w:p>
    <w:p w14:paraId="14663A74">
      <w:pPr>
        <w:pStyle w:val="2"/>
        <w:ind w:right="-54"/>
        <w:jc w:val="left"/>
        <w:rPr>
          <w:rFonts w:ascii="Arial" w:hAnsi="Arial" w:cs="Arial"/>
          <w:caps/>
          <w:smallCaps/>
          <w:sz w:val="20"/>
          <w:szCs w:val="20"/>
          <w:lang w:val="sq-AL"/>
        </w:rPr>
      </w:pPr>
      <w:bookmarkStart w:id="127" w:name="_Toc444607939"/>
      <w:r>
        <w:rPr>
          <w:rFonts w:ascii="Arial" w:hAnsi="Arial" w:cs="Arial"/>
          <w:smallCaps/>
          <w:sz w:val="20"/>
          <w:szCs w:val="20"/>
          <w:u w:val="single"/>
          <w:lang w:val="sq-AL"/>
        </w:rPr>
        <w:t>PJESA III   E KONTRATES</w:t>
      </w:r>
      <w:r>
        <w:rPr>
          <w:rFonts w:ascii="Arial" w:hAnsi="Arial" w:cs="Arial"/>
          <w:smallCaps/>
          <w:sz w:val="20"/>
          <w:szCs w:val="20"/>
          <w:lang w:val="sq-AL"/>
        </w:rPr>
        <w:t xml:space="preserve">         </w:t>
      </w:r>
      <w:r>
        <w:rPr>
          <w:rFonts w:ascii="Arial" w:hAnsi="Arial" w:cs="Arial"/>
          <w:smallCaps/>
          <w:sz w:val="24"/>
          <w:szCs w:val="24"/>
          <w:lang w:val="sq-AL"/>
        </w:rPr>
        <w:t>kushtet e veçanta</w:t>
      </w:r>
      <w:bookmarkEnd w:id="127"/>
    </w:p>
    <w:p w14:paraId="2E00D8AF">
      <w:pPr>
        <w:spacing w:after="200"/>
        <w:rPr>
          <w:rFonts w:ascii="Arial" w:hAnsi="Arial" w:cs="Arial"/>
          <w:i/>
          <w:iCs/>
          <w:sz w:val="20"/>
        </w:rPr>
      </w:pPr>
      <w:r>
        <w:rPr>
          <w:rFonts w:ascii="Arial" w:hAnsi="Arial" w:cs="Arial"/>
          <w:sz w:val="20"/>
        </w:rPr>
        <w:t>KVK në vijim do të plotësojnë dhe/ose ndryshojnë KPK. Sa herë që ka një konflikt, dispozitat këtu do të mbizotërojnë mbi ato të KPK.</w:t>
      </w:r>
      <w:r>
        <w:rPr>
          <w:rFonts w:ascii="Arial" w:hAnsi="Arial" w:cs="Arial"/>
          <w:i/>
          <w:iCs/>
          <w:sz w:val="20"/>
        </w:rPr>
        <w:t xml:space="preserve"> </w:t>
      </w:r>
    </w:p>
    <w:tbl>
      <w:tblPr>
        <w:tblStyle w:val="12"/>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45"/>
        <w:gridCol w:w="6725"/>
      </w:tblGrid>
      <w:tr w14:paraId="2593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0" w:type="dxa"/>
            <w:gridSpan w:val="2"/>
          </w:tcPr>
          <w:p w14:paraId="71859048">
            <w:pPr>
              <w:pStyle w:val="15"/>
              <w:rPr>
                <w:rFonts w:ascii="Arial" w:hAnsi="Arial" w:cs="Arial"/>
                <w:sz w:val="20"/>
                <w:lang w:val="sq-AL"/>
              </w:rPr>
            </w:pPr>
            <w:r>
              <w:rPr>
                <w:rFonts w:ascii="Arial" w:hAnsi="Arial" w:cs="Arial"/>
                <w:sz w:val="20"/>
                <w:lang w:val="sq-AL"/>
              </w:rPr>
              <w:t>Kushtet e Përgjithshme të Kontratës</w:t>
            </w:r>
          </w:p>
        </w:tc>
        <w:tc>
          <w:tcPr>
            <w:tcW w:w="6725" w:type="dxa"/>
          </w:tcPr>
          <w:p w14:paraId="2BFD0AC6">
            <w:pPr>
              <w:pStyle w:val="15"/>
              <w:rPr>
                <w:rFonts w:ascii="Arial" w:hAnsi="Arial" w:cs="Arial"/>
                <w:sz w:val="20"/>
                <w:lang w:val="sq-AL"/>
              </w:rPr>
            </w:pPr>
            <w:r>
              <w:rPr>
                <w:rFonts w:ascii="Arial" w:hAnsi="Arial" w:cs="Arial"/>
                <w:sz w:val="20"/>
                <w:lang w:val="sq-AL"/>
              </w:rPr>
              <w:t>Amandamentimet/Modifikimi i Nenit përkatës në KPK</w:t>
            </w:r>
          </w:p>
        </w:tc>
      </w:tr>
      <w:tr w14:paraId="701B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795" w:type="dxa"/>
          </w:tcPr>
          <w:p w14:paraId="197501B9">
            <w:pPr>
              <w:pStyle w:val="15"/>
              <w:spacing w:after="0"/>
              <w:rPr>
                <w:rFonts w:ascii="Arial" w:hAnsi="Arial" w:cs="Arial"/>
                <w:sz w:val="20"/>
                <w:lang w:val="sq-AL"/>
              </w:rPr>
            </w:pPr>
            <w:r>
              <w:rPr>
                <w:rFonts w:ascii="Arial" w:hAnsi="Arial" w:cs="Arial"/>
                <w:sz w:val="20"/>
                <w:lang w:val="sq-AL"/>
              </w:rPr>
              <w:t xml:space="preserve">Përshkrimi i nenit </w:t>
            </w:r>
          </w:p>
        </w:tc>
        <w:tc>
          <w:tcPr>
            <w:tcW w:w="745" w:type="dxa"/>
          </w:tcPr>
          <w:p w14:paraId="38CFDF1D">
            <w:pPr>
              <w:pStyle w:val="15"/>
              <w:rPr>
                <w:rFonts w:ascii="Arial" w:hAnsi="Arial" w:cs="Arial"/>
                <w:sz w:val="20"/>
                <w:lang w:val="sq-AL"/>
              </w:rPr>
            </w:pPr>
            <w:r>
              <w:rPr>
                <w:rFonts w:ascii="Arial" w:hAnsi="Arial" w:cs="Arial"/>
                <w:sz w:val="20"/>
                <w:lang w:val="sq-AL"/>
              </w:rPr>
              <w:t>Nr. Nenit</w:t>
            </w:r>
          </w:p>
        </w:tc>
        <w:tc>
          <w:tcPr>
            <w:tcW w:w="6725" w:type="dxa"/>
          </w:tcPr>
          <w:p w14:paraId="19AF2B43">
            <w:pPr>
              <w:pStyle w:val="15"/>
              <w:rPr>
                <w:rFonts w:ascii="Arial" w:hAnsi="Arial" w:cs="Arial"/>
                <w:sz w:val="20"/>
                <w:lang w:val="sq-AL"/>
              </w:rPr>
            </w:pPr>
          </w:p>
        </w:tc>
      </w:tr>
      <w:tr w14:paraId="25A2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95" w:type="dxa"/>
          </w:tcPr>
          <w:p w14:paraId="664B7E02">
            <w:pPr>
              <w:spacing w:before="120"/>
              <w:rPr>
                <w:rFonts w:ascii="Arial" w:hAnsi="Arial" w:cs="Arial"/>
                <w:bCs/>
                <w:sz w:val="20"/>
              </w:rPr>
            </w:pPr>
            <w:r>
              <w:rPr>
                <w:rFonts w:ascii="Arial" w:hAnsi="Arial" w:cs="Arial"/>
                <w:sz w:val="20"/>
              </w:rPr>
              <w:t>Ligji i zbatueshëm dhe gjuha</w:t>
            </w:r>
          </w:p>
        </w:tc>
        <w:tc>
          <w:tcPr>
            <w:tcW w:w="745" w:type="dxa"/>
          </w:tcPr>
          <w:p w14:paraId="792DFB40">
            <w:pPr>
              <w:pStyle w:val="15"/>
              <w:rPr>
                <w:rFonts w:ascii="Arial" w:hAnsi="Arial" w:cs="Arial"/>
                <w:sz w:val="20"/>
                <w:lang w:val="sq-AL"/>
              </w:rPr>
            </w:pPr>
            <w:r>
              <w:rPr>
                <w:rFonts w:ascii="Arial" w:hAnsi="Arial" w:cs="Arial"/>
                <w:sz w:val="20"/>
                <w:lang w:val="sq-AL"/>
              </w:rPr>
              <w:t>2.1</w:t>
            </w:r>
          </w:p>
        </w:tc>
        <w:tc>
          <w:tcPr>
            <w:tcW w:w="6725" w:type="dxa"/>
          </w:tcPr>
          <w:p w14:paraId="740CAEFF">
            <w:pPr>
              <w:ind w:right="113"/>
              <w:rPr>
                <w:rFonts w:ascii="Arial" w:hAnsi="Arial" w:cs="Arial"/>
                <w:sz w:val="20"/>
              </w:rPr>
            </w:pPr>
            <w:r>
              <w:rPr>
                <w:rFonts w:ascii="Arial" w:hAnsi="Arial" w:cs="Arial"/>
                <w:sz w:val="20"/>
              </w:rPr>
              <w:t>Ligjet e Kosovës që janë në fuqi do të zbatohen për të gjitha çështjet që nuk mbulohen nga dispozitat e kontratës. Juridiksioni do të jetë gjykata përkatëse në Prishtinë.</w:t>
            </w:r>
          </w:p>
        </w:tc>
      </w:tr>
      <w:tr w14:paraId="114B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62DA49FD">
            <w:pPr>
              <w:spacing w:before="120"/>
              <w:rPr>
                <w:rFonts w:ascii="Arial" w:hAnsi="Arial" w:cs="Arial"/>
                <w:sz w:val="20"/>
              </w:rPr>
            </w:pPr>
          </w:p>
        </w:tc>
        <w:tc>
          <w:tcPr>
            <w:tcW w:w="745" w:type="dxa"/>
          </w:tcPr>
          <w:p w14:paraId="6B55600D">
            <w:pPr>
              <w:pStyle w:val="15"/>
              <w:rPr>
                <w:rFonts w:ascii="Arial" w:hAnsi="Arial" w:cs="Arial"/>
                <w:sz w:val="20"/>
                <w:lang w:val="sq-AL"/>
              </w:rPr>
            </w:pPr>
            <w:r>
              <w:rPr>
                <w:rFonts w:ascii="Arial" w:hAnsi="Arial" w:cs="Arial"/>
                <w:sz w:val="20"/>
                <w:lang w:val="sq-AL"/>
              </w:rPr>
              <w:t xml:space="preserve">2.2 </w:t>
            </w:r>
          </w:p>
        </w:tc>
        <w:tc>
          <w:tcPr>
            <w:tcW w:w="6725" w:type="dxa"/>
          </w:tcPr>
          <w:p w14:paraId="4552B734">
            <w:pPr>
              <w:ind w:left="567" w:right="113" w:hanging="567"/>
              <w:rPr>
                <w:rFonts w:ascii="Arial" w:hAnsi="Arial" w:cs="Arial"/>
                <w:sz w:val="20"/>
              </w:rPr>
            </w:pPr>
            <w:r>
              <w:rPr>
                <w:rFonts w:ascii="Arial" w:hAnsi="Arial" w:cs="Arial"/>
                <w:sz w:val="20"/>
              </w:rPr>
              <w:t xml:space="preserve">Gjuha e përdorur do të jetë gjuha shqipe </w:t>
            </w:r>
          </w:p>
        </w:tc>
      </w:tr>
      <w:tr w14:paraId="4AD9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795" w:type="dxa"/>
          </w:tcPr>
          <w:p w14:paraId="07A5F649">
            <w:pPr>
              <w:spacing w:before="120"/>
              <w:rPr>
                <w:rFonts w:ascii="Arial" w:hAnsi="Arial" w:cs="Arial"/>
                <w:sz w:val="20"/>
              </w:rPr>
            </w:pPr>
            <w:r>
              <w:rPr>
                <w:rFonts w:ascii="Arial" w:hAnsi="Arial" w:cs="Arial"/>
                <w:sz w:val="20"/>
              </w:rPr>
              <w:t>Fillimi dhe Përfundimi i shërbimeve</w:t>
            </w:r>
          </w:p>
        </w:tc>
        <w:tc>
          <w:tcPr>
            <w:tcW w:w="745" w:type="dxa"/>
          </w:tcPr>
          <w:p w14:paraId="04E6011A">
            <w:pPr>
              <w:pStyle w:val="15"/>
              <w:rPr>
                <w:rFonts w:ascii="Arial" w:hAnsi="Arial" w:cs="Arial"/>
                <w:sz w:val="20"/>
                <w:lang w:val="sq-AL"/>
              </w:rPr>
            </w:pPr>
            <w:r>
              <w:rPr>
                <w:rFonts w:ascii="Arial" w:hAnsi="Arial" w:cs="Arial"/>
                <w:sz w:val="20"/>
                <w:lang w:val="sq-AL"/>
              </w:rPr>
              <w:t>6.1</w:t>
            </w:r>
          </w:p>
        </w:tc>
        <w:tc>
          <w:tcPr>
            <w:tcW w:w="6725" w:type="dxa"/>
          </w:tcPr>
          <w:p w14:paraId="06C4E6DD">
            <w:pPr>
              <w:ind w:right="113"/>
              <w:rPr>
                <w:rFonts w:ascii="Arial" w:hAnsi="Arial" w:cs="Arial"/>
                <w:sz w:val="20"/>
              </w:rPr>
            </w:pPr>
            <w:r>
              <w:rPr>
                <w:rFonts w:ascii="Arial" w:hAnsi="Arial" w:cs="Arial"/>
                <w:sz w:val="20"/>
              </w:rPr>
              <w:t>Data e Fillimit të fillimit të Shërbimeve është data e nënshkrimit të kontratës</w:t>
            </w:r>
          </w:p>
        </w:tc>
      </w:tr>
      <w:tr w14:paraId="006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11D3BB27">
            <w:pPr>
              <w:spacing w:before="120"/>
              <w:rPr>
                <w:rFonts w:ascii="Arial" w:hAnsi="Arial" w:cs="Arial"/>
                <w:sz w:val="20"/>
              </w:rPr>
            </w:pPr>
          </w:p>
        </w:tc>
        <w:tc>
          <w:tcPr>
            <w:tcW w:w="745" w:type="dxa"/>
          </w:tcPr>
          <w:p w14:paraId="02BF7075">
            <w:pPr>
              <w:pStyle w:val="15"/>
              <w:rPr>
                <w:rFonts w:ascii="Arial" w:hAnsi="Arial" w:cs="Arial"/>
                <w:sz w:val="20"/>
                <w:lang w:val="sq-AL"/>
              </w:rPr>
            </w:pPr>
            <w:r>
              <w:rPr>
                <w:rFonts w:ascii="Arial" w:hAnsi="Arial" w:cs="Arial"/>
                <w:sz w:val="20"/>
                <w:lang w:val="sq-AL"/>
              </w:rPr>
              <w:t>6.4</w:t>
            </w:r>
          </w:p>
        </w:tc>
        <w:tc>
          <w:tcPr>
            <w:tcW w:w="6725" w:type="dxa"/>
          </w:tcPr>
          <w:p w14:paraId="0549EF35">
            <w:pPr>
              <w:ind w:right="113"/>
              <w:rPr>
                <w:rFonts w:ascii="Arial" w:hAnsi="Arial" w:cs="Arial"/>
                <w:sz w:val="20"/>
              </w:rPr>
            </w:pPr>
            <w:r>
              <w:rPr>
                <w:rFonts w:ascii="Arial" w:hAnsi="Arial" w:cs="Arial"/>
                <w:sz w:val="20"/>
              </w:rPr>
              <w:t>Data e Përfundimit është 12 muaj pas hyrjes ne fuqi te kontratës.</w:t>
            </w:r>
          </w:p>
        </w:tc>
      </w:tr>
      <w:tr w14:paraId="7AB2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0D30043E">
            <w:pPr>
              <w:spacing w:before="120"/>
              <w:rPr>
                <w:rFonts w:ascii="Arial" w:hAnsi="Arial" w:cs="Arial"/>
                <w:sz w:val="20"/>
              </w:rPr>
            </w:pPr>
          </w:p>
        </w:tc>
        <w:tc>
          <w:tcPr>
            <w:tcW w:w="745" w:type="dxa"/>
          </w:tcPr>
          <w:p w14:paraId="061F848A">
            <w:pPr>
              <w:pStyle w:val="15"/>
              <w:rPr>
                <w:rFonts w:ascii="Arial" w:hAnsi="Arial" w:cs="Arial"/>
                <w:sz w:val="20"/>
                <w:lang w:val="sq-AL"/>
              </w:rPr>
            </w:pPr>
            <w:r>
              <w:rPr>
                <w:rFonts w:ascii="Arial" w:hAnsi="Arial" w:cs="Arial"/>
                <w:sz w:val="20"/>
                <w:lang w:val="sq-AL"/>
              </w:rPr>
              <w:t>6.5</w:t>
            </w:r>
          </w:p>
        </w:tc>
        <w:tc>
          <w:tcPr>
            <w:tcW w:w="6725" w:type="dxa"/>
          </w:tcPr>
          <w:p w14:paraId="022C5B2F">
            <w:pPr>
              <w:ind w:right="113"/>
              <w:rPr>
                <w:rFonts w:ascii="Arial" w:hAnsi="Arial" w:cs="Arial"/>
                <w:sz w:val="20"/>
              </w:rPr>
            </w:pPr>
            <w:r>
              <w:rPr>
                <w:rFonts w:ascii="Arial" w:hAnsi="Arial" w:cs="Arial"/>
                <w:sz w:val="20"/>
              </w:rPr>
              <w:t>Vendi i kryerjes së shërbimeve është ARKEP</w:t>
            </w:r>
          </w:p>
        </w:tc>
      </w:tr>
      <w:tr w14:paraId="703D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3AF0F3FB">
            <w:pPr>
              <w:spacing w:before="120"/>
              <w:rPr>
                <w:rFonts w:ascii="Arial" w:hAnsi="Arial" w:cs="Arial"/>
                <w:sz w:val="20"/>
              </w:rPr>
            </w:pPr>
            <w:r>
              <w:rPr>
                <w:rFonts w:ascii="Arial" w:hAnsi="Arial" w:cs="Arial"/>
                <w:sz w:val="20"/>
              </w:rPr>
              <w:t>Obligimet e Autoritetit Kontraktues</w:t>
            </w:r>
          </w:p>
        </w:tc>
        <w:tc>
          <w:tcPr>
            <w:tcW w:w="745" w:type="dxa"/>
          </w:tcPr>
          <w:p w14:paraId="48CCABBD">
            <w:pPr>
              <w:pStyle w:val="15"/>
              <w:rPr>
                <w:rFonts w:ascii="Arial" w:hAnsi="Arial" w:cs="Arial"/>
                <w:sz w:val="20"/>
                <w:lang w:val="sq-AL"/>
              </w:rPr>
            </w:pPr>
            <w:r>
              <w:rPr>
                <w:rFonts w:ascii="Arial" w:hAnsi="Arial" w:cs="Arial"/>
                <w:sz w:val="20"/>
                <w:lang w:val="sq-AL"/>
              </w:rPr>
              <w:t>12.3</w:t>
            </w:r>
          </w:p>
        </w:tc>
        <w:tc>
          <w:tcPr>
            <w:tcW w:w="6725" w:type="dxa"/>
          </w:tcPr>
          <w:p w14:paraId="6EE55D68">
            <w:pPr>
              <w:ind w:right="113"/>
              <w:rPr>
                <w:rFonts w:ascii="Arial" w:hAnsi="Arial" w:cs="Arial"/>
                <w:sz w:val="20"/>
              </w:rPr>
            </w:pPr>
            <w:r>
              <w:rPr>
                <w:rFonts w:ascii="Arial" w:hAnsi="Arial" w:cs="Arial"/>
                <w:sz w:val="20"/>
              </w:rPr>
              <w:t>Menaxheri i Projektit është [shëno emrin, adresën e Menaxherit të Projektit]</w:t>
            </w:r>
          </w:p>
        </w:tc>
      </w:tr>
      <w:tr w14:paraId="1331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494823E5">
            <w:pPr>
              <w:spacing w:before="120"/>
              <w:rPr>
                <w:rFonts w:ascii="Arial" w:hAnsi="Arial" w:cs="Arial"/>
                <w:sz w:val="20"/>
              </w:rPr>
            </w:pPr>
            <w:r>
              <w:rPr>
                <w:rFonts w:ascii="Arial (W1)" w:hAnsi="Arial (W1)" w:cs="Arial"/>
                <w:sz w:val="20"/>
              </w:rPr>
              <w:t>Siguria e ekzekutimit</w:t>
            </w:r>
            <w:r>
              <w:rPr>
                <w:rFonts w:ascii="Arial" w:hAnsi="Arial" w:cs="Arial"/>
                <w:sz w:val="20"/>
              </w:rPr>
              <w:t xml:space="preserve"> </w:t>
            </w:r>
          </w:p>
        </w:tc>
        <w:tc>
          <w:tcPr>
            <w:tcW w:w="745" w:type="dxa"/>
          </w:tcPr>
          <w:p w14:paraId="6F95F43C">
            <w:pPr>
              <w:pStyle w:val="15"/>
              <w:rPr>
                <w:rFonts w:ascii="Arial" w:hAnsi="Arial" w:cs="Arial"/>
                <w:sz w:val="20"/>
                <w:lang w:val="sq-AL"/>
              </w:rPr>
            </w:pPr>
            <w:r>
              <w:rPr>
                <w:rFonts w:ascii="Arial" w:hAnsi="Arial" w:cs="Arial"/>
                <w:sz w:val="20"/>
                <w:lang w:val="sq-AL"/>
              </w:rPr>
              <w:t>14.1</w:t>
            </w:r>
          </w:p>
        </w:tc>
        <w:tc>
          <w:tcPr>
            <w:tcW w:w="6725" w:type="dxa"/>
          </w:tcPr>
          <w:p w14:paraId="66C79F26">
            <w:pPr>
              <w:ind w:right="113"/>
              <w:rPr>
                <w:rFonts w:ascii="Arial" w:hAnsi="Arial" w:cs="Arial"/>
                <w:sz w:val="20"/>
              </w:rPr>
            </w:pPr>
            <w:r>
              <w:rPr>
                <w:rFonts w:ascii="Arial" w:hAnsi="Arial" w:cs="Arial"/>
                <w:sz w:val="20"/>
              </w:rPr>
              <w:t>Shume e Sigurisë së Ekzekutimit është 10% e vlerës së kontratës me afat validiteti prej 13 muajsh nga hyrja ne fuqi e kontratës</w:t>
            </w:r>
          </w:p>
        </w:tc>
      </w:tr>
      <w:tr w14:paraId="1FED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280F3E0E">
            <w:pPr>
              <w:spacing w:before="120"/>
              <w:rPr>
                <w:rFonts w:ascii="Arial" w:hAnsi="Arial" w:cs="Arial"/>
                <w:sz w:val="20"/>
              </w:rPr>
            </w:pPr>
            <w:r>
              <w:rPr>
                <w:rFonts w:ascii="Arial" w:hAnsi="Arial" w:cs="Arial"/>
                <w:sz w:val="20"/>
              </w:rPr>
              <w:t xml:space="preserve">Parimet e përgjithshme të pagesës </w:t>
            </w:r>
          </w:p>
        </w:tc>
        <w:tc>
          <w:tcPr>
            <w:tcW w:w="745" w:type="dxa"/>
          </w:tcPr>
          <w:p w14:paraId="6BCC58A1">
            <w:pPr>
              <w:pStyle w:val="15"/>
              <w:rPr>
                <w:rFonts w:ascii="Arial" w:hAnsi="Arial" w:cs="Arial"/>
                <w:sz w:val="20"/>
                <w:lang w:val="sq-AL"/>
              </w:rPr>
            </w:pPr>
            <w:r>
              <w:rPr>
                <w:rFonts w:ascii="Arial" w:hAnsi="Arial" w:cs="Arial"/>
                <w:sz w:val="20"/>
                <w:lang w:val="sq-AL"/>
              </w:rPr>
              <w:t>16.1</w:t>
            </w:r>
          </w:p>
        </w:tc>
        <w:tc>
          <w:tcPr>
            <w:tcW w:w="6725" w:type="dxa"/>
          </w:tcPr>
          <w:p w14:paraId="4A3AB104">
            <w:pPr>
              <w:pStyle w:val="15"/>
              <w:spacing w:before="60" w:after="60"/>
              <w:rPr>
                <w:rFonts w:ascii="Arial" w:hAnsi="Arial" w:cs="Arial"/>
                <w:sz w:val="20"/>
                <w:lang w:val="sq-AL"/>
              </w:rPr>
            </w:pPr>
            <w:r>
              <w:rPr>
                <w:rFonts w:ascii="Arial" w:hAnsi="Arial" w:cs="Arial"/>
                <w:sz w:val="20"/>
                <w:lang w:val="sq-AL"/>
              </w:rPr>
              <w:t>Pagesa do të autorizohet dhe do të bëhet nga ARKEP institucion që shfrytëzon këtë kontratë .</w:t>
            </w:r>
          </w:p>
          <w:p w14:paraId="48A5D516">
            <w:pPr>
              <w:pStyle w:val="15"/>
              <w:spacing w:before="60" w:after="60"/>
              <w:rPr>
                <w:rFonts w:ascii="Arial" w:hAnsi="Arial" w:cs="Arial"/>
                <w:sz w:val="20"/>
                <w:lang w:val="sq-AL"/>
              </w:rPr>
            </w:pPr>
            <w:r>
              <w:rPr>
                <w:rFonts w:ascii="Arial" w:hAnsi="Arial" w:cs="Arial"/>
                <w:sz w:val="20"/>
                <w:lang w:val="sq-AL"/>
              </w:rPr>
              <w:t>Faturat mund të dorëzohen në formë fizike ose elektronike.</w:t>
            </w:r>
          </w:p>
          <w:p w14:paraId="19710583">
            <w:pPr>
              <w:ind w:right="113"/>
              <w:rPr>
                <w:rFonts w:ascii="Arial" w:hAnsi="Arial" w:cs="Arial"/>
                <w:sz w:val="20"/>
              </w:rPr>
            </w:pPr>
            <w:r>
              <w:rPr>
                <w:rFonts w:ascii="Arial" w:hAnsi="Arial" w:cs="Arial"/>
                <w:sz w:val="20"/>
              </w:rPr>
              <w:t>Ofruesi i Shërbimeve duhet të dorëzoj tek ARKEP faturën për porosit e atij autoriteti kontraktues.</w:t>
            </w:r>
          </w:p>
        </w:tc>
      </w:tr>
      <w:tr w14:paraId="471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795" w:type="dxa"/>
          </w:tcPr>
          <w:p w14:paraId="73BDA6C3">
            <w:pPr>
              <w:spacing w:before="120"/>
              <w:rPr>
                <w:rFonts w:ascii="Arial" w:hAnsi="Arial" w:cs="Arial"/>
                <w:sz w:val="20"/>
              </w:rPr>
            </w:pPr>
            <w:r>
              <w:rPr>
                <w:rFonts w:ascii="Arial" w:hAnsi="Arial" w:cs="Arial"/>
                <w:sz w:val="20"/>
              </w:rPr>
              <w:t xml:space="preserve">Zgjidhja miqësore e mosmarrëveshjes </w:t>
            </w:r>
          </w:p>
        </w:tc>
        <w:tc>
          <w:tcPr>
            <w:tcW w:w="745" w:type="dxa"/>
          </w:tcPr>
          <w:p w14:paraId="4DB3846B">
            <w:pPr>
              <w:pStyle w:val="15"/>
              <w:rPr>
                <w:rFonts w:ascii="Arial" w:hAnsi="Arial" w:cs="Arial"/>
                <w:sz w:val="20"/>
                <w:lang w:val="sq-AL"/>
              </w:rPr>
            </w:pPr>
            <w:r>
              <w:rPr>
                <w:rFonts w:ascii="Arial" w:hAnsi="Arial" w:cs="Arial"/>
                <w:sz w:val="20"/>
                <w:lang w:val="sq-AL"/>
              </w:rPr>
              <w:t>20.2</w:t>
            </w:r>
          </w:p>
        </w:tc>
        <w:tc>
          <w:tcPr>
            <w:tcW w:w="6725" w:type="dxa"/>
          </w:tcPr>
          <w:p w14:paraId="7AEBE731">
            <w:pPr>
              <w:ind w:right="113"/>
              <w:rPr>
                <w:rFonts w:ascii="Arial" w:hAnsi="Arial" w:cs="Arial"/>
                <w:sz w:val="20"/>
              </w:rPr>
            </w:pPr>
            <w:r>
              <w:rPr>
                <w:rFonts w:ascii="Arial" w:hAnsi="Arial" w:cs="Arial"/>
                <w:sz w:val="20"/>
              </w:rPr>
              <w:t>Çdo mosmarrëveshje ndërmjet palëve te cilat mund te lindin gjatë ekzekutimit se kësaj kontrate dhe se është e mundur te zgjidhet ne mënyrë miqësore, përgjegjës për zgjidhjen e tyre do të jenë personat përgjegjës të Autoritetit Kontraktues - AQP-së, të zyrtareve përgjegjës të Autoriteteve Kontraktuese që shfrytëzojnë kontratën dhe personat përgjegjës të Furnizuesit.</w:t>
            </w:r>
          </w:p>
        </w:tc>
      </w:tr>
      <w:tr w14:paraId="5C0D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5" w:type="dxa"/>
          </w:tcPr>
          <w:p w14:paraId="7AD17FDD">
            <w:pPr>
              <w:spacing w:before="120"/>
              <w:rPr>
                <w:rFonts w:ascii="Arial" w:hAnsi="Arial" w:cs="Arial"/>
                <w:sz w:val="20"/>
              </w:rPr>
            </w:pPr>
            <w:r>
              <w:rPr>
                <w:rFonts w:ascii="Arial" w:hAnsi="Arial" w:cs="Arial"/>
                <w:sz w:val="20"/>
              </w:rPr>
              <w:t>Zgjidhja e mosmarrëveshjes me procedure gjyqësore</w:t>
            </w:r>
          </w:p>
        </w:tc>
        <w:tc>
          <w:tcPr>
            <w:tcW w:w="745" w:type="dxa"/>
          </w:tcPr>
          <w:p w14:paraId="52234981">
            <w:pPr>
              <w:pStyle w:val="15"/>
              <w:rPr>
                <w:rFonts w:ascii="Arial" w:hAnsi="Arial" w:cs="Arial"/>
                <w:sz w:val="20"/>
                <w:lang w:val="sq-AL"/>
              </w:rPr>
            </w:pPr>
            <w:r>
              <w:rPr>
                <w:rFonts w:ascii="Arial" w:hAnsi="Arial" w:cs="Arial"/>
                <w:sz w:val="20"/>
                <w:lang w:val="sq-AL"/>
              </w:rPr>
              <w:t>21.1</w:t>
            </w:r>
          </w:p>
        </w:tc>
        <w:tc>
          <w:tcPr>
            <w:tcW w:w="6725" w:type="dxa"/>
          </w:tcPr>
          <w:p w14:paraId="5068B5A3">
            <w:pPr>
              <w:ind w:right="113"/>
              <w:rPr>
                <w:rFonts w:ascii="Arial" w:hAnsi="Arial" w:cs="Arial"/>
                <w:sz w:val="20"/>
              </w:rPr>
            </w:pPr>
            <w:r>
              <w:rPr>
                <w:rFonts w:ascii="Arial" w:hAnsi="Arial" w:cs="Arial"/>
                <w:sz w:val="20"/>
              </w:rPr>
              <w:t>a) Çdo mosmarrëveshje ndërmjet palëve të cilat mund të lindin gjatë ekzekutimit së kësaj kontrate dhe se nuk është e mundur të zgjidhet ndryshe ndërmjet palëve do të dorëzohet në gjykatën kompetente në pajtim me ligjin në Kosovë.</w:t>
            </w:r>
          </w:p>
        </w:tc>
      </w:tr>
    </w:tbl>
    <w:p w14:paraId="58FCFF7F">
      <w:pPr>
        <w:pStyle w:val="2"/>
        <w:tabs>
          <w:tab w:val="left" w:pos="3289"/>
        </w:tabs>
        <w:ind w:right="-54"/>
        <w:rPr>
          <w:rFonts w:ascii="Times New Roman" w:hAnsi="Times New Roman"/>
          <w:caps/>
          <w:smallCaps/>
          <w:sz w:val="22"/>
          <w:szCs w:val="22"/>
        </w:rPr>
      </w:pPr>
      <w:r>
        <w:rPr>
          <w:rFonts w:ascii="Arial" w:hAnsi="Arial" w:cs="Arial"/>
          <w:smallCaps/>
          <w:sz w:val="20"/>
          <w:szCs w:val="20"/>
          <w:u w:val="single"/>
          <w:lang w:val="sq-AL"/>
        </w:rPr>
        <w:t xml:space="preserve">PJESA  IV E KONTRATËS: </w:t>
      </w:r>
      <w:r>
        <w:rPr>
          <w:rFonts w:ascii="Times New Roman" w:hAnsi="Times New Roman"/>
          <w:smallCaps/>
          <w:sz w:val="22"/>
          <w:szCs w:val="22"/>
        </w:rPr>
        <w:t>MODEL I SIGURISË SË EKZEKUTIMIT</w:t>
      </w:r>
    </w:p>
    <w:p w14:paraId="7CE29DA0">
      <w:pPr>
        <w:jc w:val="center"/>
        <w:rPr>
          <w:i/>
          <w:sz w:val="22"/>
          <w:szCs w:val="22"/>
        </w:rPr>
      </w:pPr>
      <w:r>
        <w:rPr>
          <w:i/>
          <w:sz w:val="22"/>
          <w:szCs w:val="22"/>
        </w:rPr>
        <w:t xml:space="preserve"> [Me logon e institucionit financiar që e jep sigurinë]</w:t>
      </w:r>
    </w:p>
    <w:p w14:paraId="1CC5F1F2">
      <w:pPr>
        <w:spacing w:after="0"/>
        <w:jc w:val="left"/>
        <w:outlineLvl w:val="0"/>
        <w:rPr>
          <w:b/>
          <w:sz w:val="22"/>
          <w:szCs w:val="22"/>
        </w:rPr>
      </w:pPr>
      <w:r>
        <w:rPr>
          <w:b/>
          <w:sz w:val="22"/>
          <w:szCs w:val="22"/>
        </w:rPr>
        <w:t>Për: Agjencia Qendrore e Prokurimit</w:t>
      </w:r>
    </w:p>
    <w:p w14:paraId="70DF9D43">
      <w:pPr>
        <w:spacing w:after="0"/>
        <w:jc w:val="left"/>
        <w:outlineLvl w:val="0"/>
        <w:rPr>
          <w:sz w:val="22"/>
          <w:szCs w:val="22"/>
        </w:rPr>
      </w:pPr>
      <w:r>
        <w:rPr>
          <w:b/>
          <w:sz w:val="22"/>
          <w:szCs w:val="22"/>
        </w:rPr>
        <w:t>(</w:t>
      </w:r>
      <w:r>
        <w:rPr>
          <w:sz w:val="22"/>
          <w:szCs w:val="22"/>
        </w:rPr>
        <w:t xml:space="preserve">në vazhdim: “autoriteti kontraktues” </w:t>
      </w:r>
    </w:p>
    <w:p w14:paraId="4DA11710">
      <w:pPr>
        <w:spacing w:after="0"/>
        <w:jc w:val="left"/>
        <w:outlineLvl w:val="0"/>
        <w:rPr>
          <w:b/>
          <w:sz w:val="22"/>
          <w:szCs w:val="22"/>
        </w:rPr>
      </w:pPr>
    </w:p>
    <w:p w14:paraId="37FEA73E">
      <w:pPr>
        <w:spacing w:after="0"/>
        <w:jc w:val="left"/>
        <w:outlineLvl w:val="0"/>
        <w:rPr>
          <w:b/>
          <w:sz w:val="22"/>
          <w:szCs w:val="22"/>
        </w:rPr>
      </w:pPr>
      <w:r>
        <w:rPr>
          <w:b/>
          <w:sz w:val="22"/>
          <w:szCs w:val="22"/>
        </w:rPr>
        <w:t>Në emër të: [</w:t>
      </w:r>
      <w:r>
        <w:rPr>
          <w:b/>
          <w:i/>
          <w:sz w:val="22"/>
          <w:szCs w:val="22"/>
        </w:rPr>
        <w:t>emri dhe adresa e operatorit ekonomik</w:t>
      </w:r>
      <w:r>
        <w:rPr>
          <w:b/>
          <w:sz w:val="22"/>
          <w:szCs w:val="22"/>
        </w:rPr>
        <w:t>]</w:t>
      </w:r>
    </w:p>
    <w:p w14:paraId="3F62B49D">
      <w:pPr>
        <w:spacing w:after="0"/>
        <w:jc w:val="left"/>
        <w:outlineLvl w:val="0"/>
        <w:rPr>
          <w:sz w:val="22"/>
          <w:szCs w:val="22"/>
        </w:rPr>
      </w:pPr>
      <w:r>
        <w:rPr>
          <w:sz w:val="22"/>
          <w:szCs w:val="22"/>
        </w:rPr>
        <w:t>(në vazhdim “operatori ekonomik”)</w:t>
      </w:r>
    </w:p>
    <w:p w14:paraId="48B7C2A0">
      <w:pPr>
        <w:spacing w:after="0"/>
        <w:jc w:val="left"/>
        <w:outlineLvl w:val="0"/>
        <w:rPr>
          <w:b/>
          <w:sz w:val="22"/>
          <w:szCs w:val="22"/>
        </w:rPr>
      </w:pPr>
    </w:p>
    <w:p w14:paraId="4CB25AED">
      <w:pPr>
        <w:spacing w:after="0"/>
        <w:jc w:val="left"/>
        <w:outlineLvl w:val="0"/>
        <w:rPr>
          <w:b/>
          <w:sz w:val="22"/>
          <w:szCs w:val="22"/>
        </w:rPr>
      </w:pPr>
      <w:r>
        <w:rPr>
          <w:b/>
          <w:sz w:val="22"/>
          <w:szCs w:val="22"/>
        </w:rPr>
        <w:t xml:space="preserve">Titulli i aktivitetit të prokurimit: </w:t>
      </w:r>
      <w:r>
        <w:rPr>
          <w:b/>
          <w:bCs/>
          <w:sz w:val="22"/>
          <w:szCs w:val="22"/>
        </w:rPr>
        <w:t>Vazhdimi i Garancionit dhe Shërbimeve të Mbështetjes për Sistemin Nacional të Monitorimit të Spektrit Radio Frekuencor (SNMS)</w:t>
      </w:r>
    </w:p>
    <w:p w14:paraId="71571807">
      <w:pPr>
        <w:spacing w:after="0"/>
        <w:jc w:val="left"/>
        <w:outlineLvl w:val="0"/>
        <w:rPr>
          <w:b/>
          <w:sz w:val="22"/>
          <w:szCs w:val="22"/>
        </w:rPr>
      </w:pPr>
    </w:p>
    <w:p w14:paraId="3541ADE5">
      <w:pPr>
        <w:spacing w:after="0"/>
        <w:jc w:val="left"/>
        <w:outlineLvl w:val="0"/>
        <w:rPr>
          <w:b/>
          <w:sz w:val="22"/>
          <w:szCs w:val="22"/>
        </w:rPr>
      </w:pPr>
      <w:r>
        <w:rPr>
          <w:b/>
          <w:sz w:val="22"/>
          <w:szCs w:val="22"/>
        </w:rPr>
        <w:t xml:space="preserve">Numri i Prokurimit: </w:t>
      </w:r>
      <w:r>
        <w:rPr>
          <w:b/>
          <w:color w:val="333333"/>
          <w:lang w:val="en-US"/>
        </w:rPr>
        <w:t>201/26300-26-1599-2-1-5</w:t>
      </w:r>
    </w:p>
    <w:p w14:paraId="33B8ECA7">
      <w:pPr>
        <w:spacing w:after="0"/>
        <w:jc w:val="center"/>
        <w:outlineLvl w:val="0"/>
        <w:rPr>
          <w:b/>
          <w:sz w:val="22"/>
          <w:szCs w:val="22"/>
        </w:rPr>
      </w:pPr>
      <w:r>
        <w:rPr>
          <w:b/>
          <w:sz w:val="22"/>
          <w:szCs w:val="22"/>
        </w:rPr>
        <w:t>Garancion me kërkesë te pare</w:t>
      </w:r>
    </w:p>
    <w:p w14:paraId="585BA0ED">
      <w:pPr>
        <w:pStyle w:val="123"/>
        <w:rPr>
          <w:rFonts w:ascii="Times New Roman" w:hAnsi="Times New Roman" w:cs="Times New Roman"/>
          <w:b/>
          <w:sz w:val="22"/>
          <w:szCs w:val="22"/>
          <w:lang w:val="sq-AL"/>
        </w:rPr>
      </w:pPr>
    </w:p>
    <w:p w14:paraId="4E399145">
      <w:pPr>
        <w:ind w:right="57"/>
        <w:rPr>
          <w:sz w:val="22"/>
          <w:szCs w:val="22"/>
        </w:rPr>
      </w:pPr>
      <w:r>
        <w:rPr>
          <w:sz w:val="22"/>
          <w:szCs w:val="22"/>
        </w:rPr>
        <w:t>DERISA operatori ekonomik i lartcekur, ka ndërmarrë veprimet për të dorëzuar një siguri të ekzekutimit duke iu referuar Dosjes së Tenderit , me numër të prokurimit të lartcekur të dërguar nga Autoriteti Kontraktues;</w:t>
      </w:r>
    </w:p>
    <w:p w14:paraId="1186D07F">
      <w:pPr>
        <w:ind w:right="57"/>
        <w:rPr>
          <w:sz w:val="22"/>
          <w:szCs w:val="22"/>
        </w:rPr>
      </w:pPr>
      <w:r>
        <w:rPr>
          <w:sz w:val="22"/>
          <w:szCs w:val="22"/>
        </w:rPr>
        <w:t xml:space="preserve">DHE NGASE operatori ekonomik dëshiron të depozitojë sigurinë në shumën e saktësuar në Dosjen e tenderit; </w:t>
      </w:r>
    </w:p>
    <w:p w14:paraId="7BF95619">
      <w:pPr>
        <w:spacing w:after="0"/>
        <w:ind w:right="57"/>
        <w:outlineLvl w:val="0"/>
        <w:rPr>
          <w:sz w:val="22"/>
          <w:szCs w:val="22"/>
        </w:rPr>
      </w:pPr>
      <w:r>
        <w:rPr>
          <w:sz w:val="22"/>
          <w:szCs w:val="22"/>
        </w:rPr>
        <w:t>DHE NGASE ne jemi pajtuar t`i japim operatorit ekonomik këtë siguri:</w:t>
      </w:r>
    </w:p>
    <w:p w14:paraId="2769059A">
      <w:pPr>
        <w:spacing w:after="0"/>
        <w:ind w:right="57"/>
        <w:outlineLvl w:val="0"/>
        <w:rPr>
          <w:sz w:val="22"/>
          <w:szCs w:val="22"/>
        </w:rPr>
      </w:pPr>
      <w:r>
        <w:rPr>
          <w:sz w:val="22"/>
          <w:szCs w:val="22"/>
        </w:rPr>
        <w:t xml:space="preserve"> </w:t>
      </w:r>
    </w:p>
    <w:p w14:paraId="0308BCFD">
      <w:pPr>
        <w:spacing w:after="120"/>
        <w:ind w:right="57"/>
        <w:rPr>
          <w:sz w:val="22"/>
          <w:szCs w:val="22"/>
        </w:rPr>
      </w:pPr>
      <w:r>
        <w:rPr>
          <w:sz w:val="22"/>
          <w:szCs w:val="22"/>
        </w:rPr>
        <w:t xml:space="preserve">ANDAJ NE të poshtë nënshkruarit, me këtë konfirmojmë se jemi garantues dhe përgjegjës para jush, në emër të operatorit ekonomik, deri në një total prej: &lt; </w:t>
      </w:r>
      <w:r>
        <w:rPr>
          <w:i/>
          <w:sz w:val="22"/>
          <w:szCs w:val="22"/>
          <w:highlight w:val="lightGray"/>
        </w:rPr>
        <w:t>shuma e sigurisë me fjalë dhe shifra</w:t>
      </w:r>
      <w:r>
        <w:rPr>
          <w:sz w:val="22"/>
          <w:szCs w:val="22"/>
        </w:rPr>
        <w:t xml:space="preserve"> &gt;  zotohemi të ju paguajmë, që me kërkesën tuaj të parë me shkrim në të cilën deklarohet mos përmbushja e njërit nga kushtet në vijim:</w:t>
      </w:r>
    </w:p>
    <w:p w14:paraId="0146F9CD">
      <w:pPr>
        <w:numPr>
          <w:ilvl w:val="0"/>
          <w:numId w:val="27"/>
        </w:numPr>
        <w:spacing w:after="0"/>
        <w:ind w:left="924" w:right="57" w:hanging="357"/>
        <w:outlineLvl w:val="0"/>
        <w:rPr>
          <w:sz w:val="22"/>
          <w:szCs w:val="22"/>
        </w:rPr>
      </w:pPr>
      <w:r>
        <w:rPr>
          <w:sz w:val="22"/>
          <w:szCs w:val="22"/>
        </w:rPr>
        <w:t>Autoriteti kontraktues ka konstatuar në bazë të dëshmive të vërtetueshme objektivisht se operatori ekonomik ka dështuar që të ekzekutojë kontratën e nënshkruar dhe kjo i ka shkaktuar autoritetit kontraktues dëme substancionale dhe/ose shpenzime të mëdha për mbylljen e kontratës në fjalë; dhe</w:t>
      </w:r>
    </w:p>
    <w:p w14:paraId="1AE9D052">
      <w:pPr>
        <w:numPr>
          <w:ilvl w:val="0"/>
          <w:numId w:val="27"/>
        </w:numPr>
        <w:spacing w:after="0"/>
        <w:ind w:left="924" w:right="57" w:hanging="357"/>
        <w:outlineLvl w:val="0"/>
        <w:rPr>
          <w:sz w:val="22"/>
          <w:szCs w:val="22"/>
        </w:rPr>
      </w:pPr>
      <w:r>
        <w:rPr>
          <w:sz w:val="22"/>
          <w:szCs w:val="22"/>
        </w:rPr>
        <w:t>Operatori ekonomik ka dështuar që të ekzekutojë kontratën e nënshkruar dhe si rezultat i saj kanë mbet pa u paguar shumë punëtorë, nënkontraktorë dhe /ose furnizues të materialeve.</w:t>
      </w:r>
    </w:p>
    <w:p w14:paraId="16E98FA9">
      <w:pPr>
        <w:spacing w:after="0"/>
        <w:ind w:right="57"/>
        <w:outlineLvl w:val="0"/>
        <w:rPr>
          <w:sz w:val="22"/>
          <w:szCs w:val="22"/>
        </w:rPr>
      </w:pPr>
    </w:p>
    <w:p w14:paraId="1938FDBB">
      <w:pPr>
        <w:spacing w:after="0"/>
        <w:ind w:right="57"/>
        <w:outlineLvl w:val="0"/>
        <w:rPr>
          <w:sz w:val="22"/>
          <w:szCs w:val="22"/>
        </w:rPr>
      </w:pPr>
      <w:r>
        <w:rPr>
          <w:sz w:val="22"/>
          <w:szCs w:val="22"/>
        </w:rPr>
        <w:t>Pagesa në shumën e limituar prej: &lt;</w:t>
      </w:r>
      <w:r>
        <w:rPr>
          <w:sz w:val="22"/>
          <w:szCs w:val="22"/>
          <w:highlight w:val="lightGray"/>
        </w:rPr>
        <w:t>shuma e garantuar</w:t>
      </w:r>
      <w:r>
        <w:rPr>
          <w:sz w:val="22"/>
          <w:szCs w:val="22"/>
        </w:rPr>
        <w:t>&gt; siç është lartcekur, do të bëhet pa asnjë kundërshtim as ankesë, sa më shpejtë që është e mundur pas regjistrimit të kërkesës suaj me konfirmimin “e pranimit”.</w:t>
      </w:r>
    </w:p>
    <w:p w14:paraId="3A6ABB06">
      <w:pPr>
        <w:spacing w:after="0"/>
        <w:outlineLvl w:val="0"/>
        <w:rPr>
          <w:sz w:val="22"/>
          <w:szCs w:val="22"/>
        </w:rPr>
      </w:pPr>
    </w:p>
    <w:p w14:paraId="2B95AD56">
      <w:pPr>
        <w:spacing w:after="0"/>
        <w:jc w:val="center"/>
        <w:rPr>
          <w:b/>
          <w:sz w:val="22"/>
          <w:szCs w:val="22"/>
        </w:rPr>
      </w:pPr>
      <w:r>
        <w:rPr>
          <w:b/>
          <w:sz w:val="22"/>
          <w:szCs w:val="22"/>
        </w:rPr>
        <w:t>Kjo siguri vlen deri me: &lt;</w:t>
      </w:r>
      <w:r>
        <w:rPr>
          <w:b/>
          <w:i/>
          <w:sz w:val="22"/>
          <w:szCs w:val="22"/>
          <w:highlight w:val="lightGray"/>
        </w:rPr>
        <w:t>data dhe koha</w:t>
      </w:r>
      <w:r>
        <w:rPr>
          <w:b/>
          <w:sz w:val="22"/>
          <w:szCs w:val="22"/>
        </w:rPr>
        <w:t xml:space="preserve"> &gt;                                 </w:t>
      </w:r>
    </w:p>
    <w:p w14:paraId="28277770">
      <w:pPr>
        <w:spacing w:after="0"/>
        <w:jc w:val="center"/>
        <w:rPr>
          <w:sz w:val="22"/>
          <w:szCs w:val="22"/>
        </w:rPr>
      </w:pPr>
      <w:r>
        <w:rPr>
          <w:sz w:val="22"/>
          <w:szCs w:val="22"/>
          <w:highlight w:val="lightGray"/>
        </w:rPr>
        <w:t>Nënshkrimi dhe vula e Garantuesve</w:t>
      </w:r>
    </w:p>
    <w:p w14:paraId="0D1DCA33">
      <w:pPr>
        <w:spacing w:after="0"/>
        <w:jc w:val="center"/>
        <w:rPr>
          <w:sz w:val="22"/>
          <w:szCs w:val="22"/>
        </w:rPr>
      </w:pPr>
      <w:r>
        <w:rPr>
          <w:sz w:val="22"/>
          <w:szCs w:val="22"/>
        </w:rPr>
        <w:t>_______________________________</w:t>
      </w:r>
    </w:p>
    <w:p w14:paraId="4AE2B715">
      <w:pPr>
        <w:spacing w:after="0"/>
        <w:jc w:val="center"/>
        <w:rPr>
          <w:sz w:val="22"/>
          <w:szCs w:val="22"/>
        </w:rPr>
      </w:pPr>
      <w:r>
        <w:rPr>
          <w:sz w:val="22"/>
          <w:szCs w:val="22"/>
          <w:highlight w:val="lightGray"/>
        </w:rPr>
        <w:t>Emri i institucionit financiar</w:t>
      </w:r>
    </w:p>
    <w:p w14:paraId="76966F13">
      <w:pPr>
        <w:spacing w:after="0"/>
        <w:jc w:val="center"/>
        <w:rPr>
          <w:sz w:val="22"/>
          <w:szCs w:val="22"/>
        </w:rPr>
      </w:pPr>
      <w:r>
        <w:rPr>
          <w:sz w:val="22"/>
          <w:szCs w:val="22"/>
        </w:rPr>
        <w:t>________________________________</w:t>
      </w:r>
    </w:p>
    <w:p w14:paraId="043032ED">
      <w:pPr>
        <w:spacing w:after="0"/>
        <w:jc w:val="center"/>
        <w:rPr>
          <w:sz w:val="22"/>
          <w:szCs w:val="22"/>
        </w:rPr>
      </w:pPr>
    </w:p>
    <w:p w14:paraId="481E6DDD">
      <w:pPr>
        <w:spacing w:after="0"/>
        <w:jc w:val="center"/>
        <w:rPr>
          <w:sz w:val="22"/>
          <w:szCs w:val="22"/>
        </w:rPr>
      </w:pPr>
      <w:r>
        <w:rPr>
          <w:sz w:val="22"/>
          <w:szCs w:val="22"/>
          <w:highlight w:val="lightGray"/>
        </w:rPr>
        <w:t>Adresa</w:t>
      </w:r>
      <w:r>
        <w:rPr>
          <w:sz w:val="22"/>
          <w:szCs w:val="22"/>
        </w:rPr>
        <w:t xml:space="preserve">                                                                                                                                                                                                                                            ________________________</w:t>
      </w:r>
    </w:p>
    <w:p w14:paraId="526980DD">
      <w:pPr>
        <w:spacing w:after="0"/>
        <w:jc w:val="center"/>
        <w:rPr>
          <w:sz w:val="22"/>
          <w:szCs w:val="22"/>
        </w:rPr>
      </w:pPr>
    </w:p>
    <w:p w14:paraId="3481865D">
      <w:pPr>
        <w:spacing w:after="0"/>
        <w:jc w:val="center"/>
        <w:rPr>
          <w:sz w:val="22"/>
          <w:szCs w:val="22"/>
        </w:rPr>
      </w:pPr>
      <w:r>
        <w:rPr>
          <w:sz w:val="22"/>
          <w:szCs w:val="22"/>
          <w:highlight w:val="lightGray"/>
        </w:rPr>
        <w:t>Data</w:t>
      </w:r>
    </w:p>
    <w:p w14:paraId="51C04AA8">
      <w:pPr>
        <w:jc w:val="center"/>
        <w:rPr>
          <w:sz w:val="22"/>
          <w:szCs w:val="22"/>
        </w:rPr>
      </w:pPr>
    </w:p>
    <w:p w14:paraId="18CBA5AD">
      <w:pPr>
        <w:pStyle w:val="2"/>
        <w:tabs>
          <w:tab w:val="left" w:pos="3289"/>
        </w:tabs>
        <w:ind w:left="397" w:right="-54" w:hanging="397"/>
        <w:jc w:val="left"/>
        <w:rPr>
          <w:rFonts w:ascii="Times New Roman" w:hAnsi="Times New Roman"/>
          <w:sz w:val="22"/>
          <w:szCs w:val="22"/>
        </w:rPr>
      </w:pPr>
      <w:bookmarkStart w:id="128" w:name="_Toc258483571"/>
      <w:bookmarkStart w:id="129" w:name="_Toc444607961"/>
      <w:r>
        <w:rPr>
          <w:rFonts w:ascii="Times New Roman" w:hAnsi="Times New Roman"/>
          <w:sz w:val="22"/>
          <w:szCs w:val="22"/>
          <w:u w:val="single"/>
        </w:rPr>
        <w:t>PJESA V E KONTRATËS</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IDENTIFIKIMI FINANCIAR</w:t>
      </w:r>
      <w:bookmarkEnd w:id="128"/>
      <w:bookmarkEnd w:id="129"/>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8"/>
        <w:gridCol w:w="360"/>
        <w:gridCol w:w="6441"/>
      </w:tblGrid>
      <w:tr w14:paraId="22A4C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29" w:type="dxa"/>
            <w:gridSpan w:val="3"/>
            <w:tcBorders>
              <w:top w:val="single" w:color="auto" w:sz="4" w:space="0"/>
              <w:bottom w:val="single" w:color="auto" w:sz="4" w:space="0"/>
            </w:tcBorders>
            <w:vAlign w:val="center"/>
          </w:tcPr>
          <w:p w14:paraId="579FA5B4">
            <w:pPr>
              <w:spacing w:after="0"/>
              <w:jc w:val="center"/>
              <w:rPr>
                <w:b/>
                <w:sz w:val="22"/>
                <w:szCs w:val="22"/>
              </w:rPr>
            </w:pPr>
            <w:r>
              <w:rPr>
                <w:b/>
                <w:smallCaps/>
                <w:sz w:val="22"/>
                <w:szCs w:val="22"/>
              </w:rPr>
              <w:t>MBAJTËSI I LLOGARISË</w:t>
            </w:r>
          </w:p>
        </w:tc>
      </w:tr>
      <w:tr w14:paraId="03D72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28" w:type="dxa"/>
            <w:tcBorders>
              <w:top w:val="single" w:color="auto" w:sz="4" w:space="0"/>
              <w:right w:val="single" w:color="auto" w:sz="4" w:space="0"/>
            </w:tcBorders>
          </w:tcPr>
          <w:p w14:paraId="2725704E">
            <w:pPr>
              <w:spacing w:after="0"/>
              <w:jc w:val="left"/>
              <w:rPr>
                <w:b/>
                <w:sz w:val="22"/>
                <w:szCs w:val="22"/>
                <w:highlight w:val="lightGray"/>
              </w:rPr>
            </w:pPr>
            <w:r>
              <w:rPr>
                <w:b/>
                <w:sz w:val="22"/>
                <w:szCs w:val="22"/>
                <w:highlight w:val="lightGray"/>
              </w:rPr>
              <w:t>Emri</w:t>
            </w:r>
          </w:p>
        </w:tc>
        <w:tc>
          <w:tcPr>
            <w:tcW w:w="6801" w:type="dxa"/>
            <w:gridSpan w:val="2"/>
            <w:tcBorders>
              <w:top w:val="single" w:color="auto" w:sz="4" w:space="0"/>
              <w:left w:val="single" w:color="auto" w:sz="4" w:space="0"/>
            </w:tcBorders>
          </w:tcPr>
          <w:p w14:paraId="6252215F">
            <w:pPr>
              <w:spacing w:after="0"/>
              <w:jc w:val="left"/>
              <w:rPr>
                <w:b/>
                <w:sz w:val="22"/>
                <w:szCs w:val="22"/>
              </w:rPr>
            </w:pPr>
          </w:p>
        </w:tc>
      </w:tr>
      <w:tr w14:paraId="7D077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728" w:type="dxa"/>
            <w:tcBorders>
              <w:right w:val="single" w:color="auto" w:sz="4" w:space="0"/>
            </w:tcBorders>
          </w:tcPr>
          <w:p w14:paraId="70DF8965">
            <w:pPr>
              <w:spacing w:after="0"/>
              <w:jc w:val="left"/>
              <w:rPr>
                <w:b/>
                <w:sz w:val="22"/>
                <w:szCs w:val="22"/>
                <w:highlight w:val="lightGray"/>
              </w:rPr>
            </w:pPr>
            <w:r>
              <w:rPr>
                <w:b/>
                <w:sz w:val="22"/>
                <w:szCs w:val="22"/>
                <w:highlight w:val="lightGray"/>
              </w:rPr>
              <w:t>Adresa</w:t>
            </w:r>
          </w:p>
        </w:tc>
        <w:tc>
          <w:tcPr>
            <w:tcW w:w="6801" w:type="dxa"/>
            <w:gridSpan w:val="2"/>
            <w:tcBorders>
              <w:left w:val="single" w:color="auto" w:sz="4" w:space="0"/>
            </w:tcBorders>
          </w:tcPr>
          <w:p w14:paraId="4AA6D35D">
            <w:pPr>
              <w:spacing w:after="0"/>
              <w:jc w:val="left"/>
              <w:rPr>
                <w:b/>
                <w:sz w:val="22"/>
                <w:szCs w:val="22"/>
              </w:rPr>
            </w:pPr>
          </w:p>
        </w:tc>
      </w:tr>
      <w:tr w14:paraId="0C2A9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21953A81">
            <w:pPr>
              <w:spacing w:after="0"/>
              <w:jc w:val="left"/>
              <w:rPr>
                <w:b/>
                <w:sz w:val="22"/>
                <w:szCs w:val="22"/>
                <w:highlight w:val="lightGray"/>
              </w:rPr>
            </w:pPr>
            <w:r>
              <w:rPr>
                <w:b/>
                <w:sz w:val="22"/>
                <w:szCs w:val="22"/>
                <w:highlight w:val="lightGray"/>
              </w:rPr>
              <w:t>Qyteti</w:t>
            </w:r>
          </w:p>
        </w:tc>
        <w:tc>
          <w:tcPr>
            <w:tcW w:w="6801" w:type="dxa"/>
            <w:gridSpan w:val="2"/>
            <w:tcBorders>
              <w:left w:val="single" w:color="auto" w:sz="4" w:space="0"/>
            </w:tcBorders>
          </w:tcPr>
          <w:p w14:paraId="74F23D67">
            <w:pPr>
              <w:spacing w:after="0"/>
              <w:jc w:val="left"/>
              <w:rPr>
                <w:b/>
                <w:sz w:val="22"/>
                <w:szCs w:val="22"/>
              </w:rPr>
            </w:pPr>
          </w:p>
        </w:tc>
      </w:tr>
      <w:tr w14:paraId="1B8B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58000B29">
            <w:pPr>
              <w:spacing w:after="0"/>
              <w:jc w:val="left"/>
              <w:rPr>
                <w:b/>
                <w:sz w:val="22"/>
                <w:szCs w:val="22"/>
                <w:highlight w:val="lightGray"/>
              </w:rPr>
            </w:pPr>
            <w:r>
              <w:rPr>
                <w:b/>
                <w:sz w:val="22"/>
                <w:szCs w:val="22"/>
                <w:highlight w:val="lightGray"/>
              </w:rPr>
              <w:t>Kodi Postar</w:t>
            </w:r>
          </w:p>
        </w:tc>
        <w:tc>
          <w:tcPr>
            <w:tcW w:w="6801" w:type="dxa"/>
            <w:gridSpan w:val="2"/>
            <w:tcBorders>
              <w:left w:val="single" w:color="auto" w:sz="4" w:space="0"/>
            </w:tcBorders>
          </w:tcPr>
          <w:p w14:paraId="14B915F0">
            <w:pPr>
              <w:spacing w:after="0"/>
              <w:jc w:val="left"/>
              <w:rPr>
                <w:b/>
                <w:sz w:val="22"/>
                <w:szCs w:val="22"/>
              </w:rPr>
            </w:pPr>
          </w:p>
        </w:tc>
      </w:tr>
      <w:tr w14:paraId="0BE1D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4C832C2B">
            <w:pPr>
              <w:spacing w:after="0"/>
              <w:jc w:val="left"/>
              <w:rPr>
                <w:b/>
                <w:sz w:val="22"/>
                <w:szCs w:val="22"/>
                <w:highlight w:val="lightGray"/>
              </w:rPr>
            </w:pPr>
            <w:r>
              <w:rPr>
                <w:b/>
                <w:sz w:val="22"/>
                <w:szCs w:val="22"/>
                <w:highlight w:val="lightGray"/>
              </w:rPr>
              <w:t>Kontakti</w:t>
            </w:r>
          </w:p>
        </w:tc>
        <w:tc>
          <w:tcPr>
            <w:tcW w:w="6801" w:type="dxa"/>
            <w:gridSpan w:val="2"/>
            <w:tcBorders>
              <w:left w:val="single" w:color="auto" w:sz="4" w:space="0"/>
            </w:tcBorders>
          </w:tcPr>
          <w:p w14:paraId="5F4241C4">
            <w:pPr>
              <w:spacing w:after="0"/>
              <w:jc w:val="left"/>
              <w:rPr>
                <w:b/>
                <w:sz w:val="22"/>
                <w:szCs w:val="22"/>
              </w:rPr>
            </w:pPr>
          </w:p>
        </w:tc>
      </w:tr>
      <w:tr w14:paraId="5231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71C356D4">
            <w:pPr>
              <w:spacing w:after="0"/>
              <w:jc w:val="left"/>
              <w:rPr>
                <w:b/>
                <w:sz w:val="22"/>
                <w:szCs w:val="22"/>
                <w:highlight w:val="lightGray"/>
              </w:rPr>
            </w:pPr>
            <w:r>
              <w:rPr>
                <w:b/>
                <w:sz w:val="22"/>
                <w:szCs w:val="22"/>
                <w:highlight w:val="lightGray"/>
              </w:rPr>
              <w:t>Telefoni</w:t>
            </w:r>
          </w:p>
        </w:tc>
        <w:tc>
          <w:tcPr>
            <w:tcW w:w="6801" w:type="dxa"/>
            <w:gridSpan w:val="2"/>
            <w:tcBorders>
              <w:left w:val="single" w:color="auto" w:sz="4" w:space="0"/>
            </w:tcBorders>
          </w:tcPr>
          <w:p w14:paraId="6DE7017E">
            <w:pPr>
              <w:spacing w:after="0"/>
              <w:jc w:val="left"/>
              <w:rPr>
                <w:b/>
                <w:sz w:val="22"/>
                <w:szCs w:val="22"/>
              </w:rPr>
            </w:pPr>
          </w:p>
        </w:tc>
      </w:tr>
      <w:tr w14:paraId="650C8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440AE86F">
            <w:pPr>
              <w:spacing w:after="0"/>
              <w:jc w:val="left"/>
              <w:rPr>
                <w:b/>
                <w:sz w:val="22"/>
                <w:szCs w:val="22"/>
                <w:highlight w:val="lightGray"/>
              </w:rPr>
            </w:pPr>
            <w:r>
              <w:rPr>
                <w:b/>
                <w:sz w:val="22"/>
                <w:szCs w:val="22"/>
                <w:highlight w:val="lightGray"/>
              </w:rPr>
              <w:t>Fax</w:t>
            </w:r>
          </w:p>
        </w:tc>
        <w:tc>
          <w:tcPr>
            <w:tcW w:w="6801" w:type="dxa"/>
            <w:gridSpan w:val="2"/>
            <w:tcBorders>
              <w:left w:val="single" w:color="auto" w:sz="4" w:space="0"/>
            </w:tcBorders>
          </w:tcPr>
          <w:p w14:paraId="7183B6E6">
            <w:pPr>
              <w:spacing w:after="0"/>
              <w:jc w:val="left"/>
              <w:rPr>
                <w:b/>
                <w:sz w:val="22"/>
                <w:szCs w:val="22"/>
              </w:rPr>
            </w:pPr>
          </w:p>
        </w:tc>
      </w:tr>
      <w:tr w14:paraId="3425D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2CC35D48">
            <w:pPr>
              <w:spacing w:after="0"/>
              <w:jc w:val="left"/>
              <w:rPr>
                <w:b/>
                <w:sz w:val="22"/>
                <w:szCs w:val="22"/>
                <w:highlight w:val="lightGray"/>
              </w:rPr>
            </w:pPr>
            <w:r>
              <w:rPr>
                <w:b/>
                <w:sz w:val="22"/>
                <w:szCs w:val="22"/>
                <w:highlight w:val="lightGray"/>
              </w:rPr>
              <w:t>E-mail</w:t>
            </w:r>
          </w:p>
        </w:tc>
        <w:tc>
          <w:tcPr>
            <w:tcW w:w="6801" w:type="dxa"/>
            <w:gridSpan w:val="2"/>
            <w:tcBorders>
              <w:left w:val="single" w:color="auto" w:sz="4" w:space="0"/>
            </w:tcBorders>
          </w:tcPr>
          <w:p w14:paraId="5DDE4C66">
            <w:pPr>
              <w:spacing w:after="0"/>
              <w:jc w:val="left"/>
              <w:rPr>
                <w:b/>
                <w:sz w:val="22"/>
                <w:szCs w:val="22"/>
              </w:rPr>
            </w:pPr>
          </w:p>
        </w:tc>
      </w:tr>
      <w:tr w14:paraId="04D7E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28" w:type="dxa"/>
            <w:tcBorders>
              <w:right w:val="single" w:color="auto" w:sz="4" w:space="0"/>
            </w:tcBorders>
          </w:tcPr>
          <w:p w14:paraId="2B8B75A7">
            <w:pPr>
              <w:spacing w:after="0"/>
              <w:jc w:val="left"/>
              <w:rPr>
                <w:b/>
                <w:sz w:val="22"/>
                <w:szCs w:val="22"/>
                <w:highlight w:val="lightGray"/>
              </w:rPr>
            </w:pPr>
            <w:r>
              <w:rPr>
                <w:b/>
                <w:sz w:val="22"/>
                <w:szCs w:val="22"/>
                <w:highlight w:val="lightGray"/>
              </w:rPr>
              <w:t>Numri i TVSH</w:t>
            </w:r>
          </w:p>
        </w:tc>
        <w:tc>
          <w:tcPr>
            <w:tcW w:w="6801" w:type="dxa"/>
            <w:gridSpan w:val="2"/>
            <w:tcBorders>
              <w:left w:val="single" w:color="auto" w:sz="4" w:space="0"/>
            </w:tcBorders>
          </w:tcPr>
          <w:p w14:paraId="202D4C61">
            <w:pPr>
              <w:spacing w:after="0"/>
              <w:jc w:val="left"/>
              <w:rPr>
                <w:b/>
                <w:sz w:val="22"/>
                <w:szCs w:val="22"/>
              </w:rPr>
            </w:pPr>
          </w:p>
        </w:tc>
      </w:tr>
      <w:tr w14:paraId="3F535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29" w:type="dxa"/>
            <w:gridSpan w:val="3"/>
            <w:tcBorders>
              <w:top w:val="single" w:color="auto" w:sz="4" w:space="0"/>
              <w:bottom w:val="single" w:color="auto" w:sz="4" w:space="0"/>
            </w:tcBorders>
            <w:vAlign w:val="center"/>
          </w:tcPr>
          <w:p w14:paraId="6AE070C6">
            <w:pPr>
              <w:spacing w:after="0"/>
              <w:jc w:val="center"/>
              <w:rPr>
                <w:b/>
                <w:sz w:val="22"/>
                <w:szCs w:val="22"/>
              </w:rPr>
            </w:pPr>
            <w:r>
              <w:rPr>
                <w:b/>
                <w:sz w:val="22"/>
                <w:szCs w:val="22"/>
              </w:rPr>
              <w:t>BANKA</w:t>
            </w:r>
          </w:p>
        </w:tc>
      </w:tr>
      <w:tr w14:paraId="37B65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2088" w:type="dxa"/>
            <w:gridSpan w:val="2"/>
            <w:tcBorders>
              <w:top w:val="single" w:color="auto" w:sz="4" w:space="0"/>
              <w:right w:val="single" w:color="auto" w:sz="4" w:space="0"/>
            </w:tcBorders>
          </w:tcPr>
          <w:p w14:paraId="7BAEF9EC">
            <w:pPr>
              <w:spacing w:after="0"/>
              <w:jc w:val="left"/>
              <w:rPr>
                <w:b/>
                <w:sz w:val="22"/>
                <w:szCs w:val="22"/>
                <w:highlight w:val="lightGray"/>
              </w:rPr>
            </w:pPr>
            <w:r>
              <w:rPr>
                <w:b/>
                <w:sz w:val="22"/>
                <w:szCs w:val="22"/>
                <w:highlight w:val="lightGray"/>
              </w:rPr>
              <w:t>Emri</w:t>
            </w:r>
          </w:p>
        </w:tc>
        <w:tc>
          <w:tcPr>
            <w:tcW w:w="6441" w:type="dxa"/>
            <w:tcBorders>
              <w:top w:val="single" w:color="auto" w:sz="4" w:space="0"/>
              <w:left w:val="single" w:color="auto" w:sz="4" w:space="0"/>
            </w:tcBorders>
          </w:tcPr>
          <w:p w14:paraId="02B6BE7C">
            <w:pPr>
              <w:spacing w:after="0"/>
              <w:jc w:val="left"/>
              <w:rPr>
                <w:b/>
                <w:sz w:val="22"/>
                <w:szCs w:val="22"/>
              </w:rPr>
            </w:pPr>
          </w:p>
        </w:tc>
      </w:tr>
      <w:tr w14:paraId="34FA8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088" w:type="dxa"/>
            <w:gridSpan w:val="2"/>
            <w:tcBorders>
              <w:right w:val="single" w:color="auto" w:sz="4" w:space="0"/>
            </w:tcBorders>
          </w:tcPr>
          <w:p w14:paraId="691A2EE7">
            <w:pPr>
              <w:spacing w:after="0"/>
              <w:jc w:val="left"/>
              <w:rPr>
                <w:b/>
                <w:sz w:val="22"/>
                <w:szCs w:val="22"/>
                <w:highlight w:val="lightGray"/>
              </w:rPr>
            </w:pPr>
            <w:r>
              <w:rPr>
                <w:b/>
                <w:sz w:val="22"/>
                <w:szCs w:val="22"/>
                <w:highlight w:val="lightGray"/>
              </w:rPr>
              <w:t>Adresa</w:t>
            </w:r>
          </w:p>
        </w:tc>
        <w:tc>
          <w:tcPr>
            <w:tcW w:w="6441" w:type="dxa"/>
            <w:tcBorders>
              <w:left w:val="single" w:color="auto" w:sz="4" w:space="0"/>
            </w:tcBorders>
          </w:tcPr>
          <w:p w14:paraId="2C863DB8">
            <w:pPr>
              <w:spacing w:after="0"/>
              <w:jc w:val="left"/>
              <w:rPr>
                <w:b/>
                <w:sz w:val="22"/>
                <w:szCs w:val="22"/>
              </w:rPr>
            </w:pPr>
          </w:p>
        </w:tc>
      </w:tr>
      <w:tr w14:paraId="435BE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094ACEE9">
            <w:pPr>
              <w:spacing w:after="0"/>
              <w:jc w:val="left"/>
              <w:rPr>
                <w:b/>
                <w:sz w:val="22"/>
                <w:szCs w:val="22"/>
                <w:highlight w:val="lightGray"/>
              </w:rPr>
            </w:pPr>
            <w:r>
              <w:rPr>
                <w:b/>
                <w:sz w:val="22"/>
                <w:szCs w:val="22"/>
                <w:highlight w:val="lightGray"/>
              </w:rPr>
              <w:t>Qyteti</w:t>
            </w:r>
          </w:p>
        </w:tc>
        <w:tc>
          <w:tcPr>
            <w:tcW w:w="6441" w:type="dxa"/>
            <w:tcBorders>
              <w:left w:val="single" w:color="auto" w:sz="4" w:space="0"/>
            </w:tcBorders>
          </w:tcPr>
          <w:p w14:paraId="15F06B95">
            <w:pPr>
              <w:spacing w:after="0"/>
              <w:jc w:val="left"/>
              <w:rPr>
                <w:b/>
                <w:sz w:val="22"/>
                <w:szCs w:val="22"/>
              </w:rPr>
            </w:pPr>
          </w:p>
        </w:tc>
      </w:tr>
      <w:tr w14:paraId="501BA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382074AE">
            <w:pPr>
              <w:spacing w:after="0"/>
              <w:jc w:val="left"/>
              <w:rPr>
                <w:b/>
                <w:sz w:val="22"/>
                <w:szCs w:val="22"/>
                <w:highlight w:val="lightGray"/>
              </w:rPr>
            </w:pPr>
            <w:r>
              <w:rPr>
                <w:b/>
                <w:sz w:val="22"/>
                <w:szCs w:val="22"/>
                <w:highlight w:val="lightGray"/>
              </w:rPr>
              <w:t>Kodi Postar</w:t>
            </w:r>
          </w:p>
        </w:tc>
        <w:tc>
          <w:tcPr>
            <w:tcW w:w="6441" w:type="dxa"/>
            <w:tcBorders>
              <w:left w:val="single" w:color="auto" w:sz="4" w:space="0"/>
            </w:tcBorders>
          </w:tcPr>
          <w:p w14:paraId="50290117">
            <w:pPr>
              <w:spacing w:after="0"/>
              <w:jc w:val="left"/>
              <w:rPr>
                <w:b/>
                <w:sz w:val="22"/>
                <w:szCs w:val="22"/>
              </w:rPr>
            </w:pPr>
          </w:p>
        </w:tc>
      </w:tr>
      <w:tr w14:paraId="74044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50C66E5E">
            <w:pPr>
              <w:spacing w:after="0"/>
              <w:jc w:val="left"/>
              <w:rPr>
                <w:b/>
                <w:sz w:val="22"/>
                <w:szCs w:val="22"/>
                <w:highlight w:val="lightGray"/>
              </w:rPr>
            </w:pPr>
            <w:r>
              <w:rPr>
                <w:b/>
                <w:sz w:val="22"/>
                <w:szCs w:val="22"/>
                <w:highlight w:val="lightGray"/>
              </w:rPr>
              <w:t>Shteti</w:t>
            </w:r>
          </w:p>
        </w:tc>
        <w:tc>
          <w:tcPr>
            <w:tcW w:w="6441" w:type="dxa"/>
            <w:tcBorders>
              <w:left w:val="single" w:color="auto" w:sz="4" w:space="0"/>
            </w:tcBorders>
          </w:tcPr>
          <w:p w14:paraId="6784FDAA">
            <w:pPr>
              <w:spacing w:after="0"/>
              <w:jc w:val="left"/>
              <w:rPr>
                <w:b/>
                <w:sz w:val="22"/>
                <w:szCs w:val="22"/>
              </w:rPr>
            </w:pPr>
          </w:p>
        </w:tc>
      </w:tr>
      <w:tr w14:paraId="41099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62A69EF7">
            <w:pPr>
              <w:spacing w:after="0"/>
              <w:jc w:val="left"/>
              <w:rPr>
                <w:b/>
                <w:sz w:val="22"/>
                <w:szCs w:val="22"/>
                <w:highlight w:val="lightGray"/>
              </w:rPr>
            </w:pPr>
            <w:r>
              <w:rPr>
                <w:b/>
                <w:sz w:val="22"/>
                <w:szCs w:val="22"/>
                <w:highlight w:val="lightGray"/>
              </w:rPr>
              <w:t>Llogaria Bankare</w:t>
            </w:r>
          </w:p>
        </w:tc>
        <w:tc>
          <w:tcPr>
            <w:tcW w:w="6441" w:type="dxa"/>
            <w:tcBorders>
              <w:left w:val="single" w:color="auto" w:sz="4" w:space="0"/>
            </w:tcBorders>
          </w:tcPr>
          <w:p w14:paraId="2D2D61B1">
            <w:pPr>
              <w:spacing w:after="0"/>
              <w:jc w:val="left"/>
              <w:rPr>
                <w:b/>
                <w:sz w:val="22"/>
                <w:szCs w:val="22"/>
              </w:rPr>
            </w:pPr>
          </w:p>
        </w:tc>
      </w:tr>
      <w:tr w14:paraId="0C4A6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27C1AC8E">
            <w:pPr>
              <w:spacing w:after="0"/>
              <w:jc w:val="left"/>
              <w:rPr>
                <w:b/>
                <w:sz w:val="22"/>
                <w:szCs w:val="22"/>
                <w:highlight w:val="lightGray"/>
              </w:rPr>
            </w:pPr>
            <w:r>
              <w:rPr>
                <w:b/>
                <w:sz w:val="22"/>
                <w:szCs w:val="22"/>
                <w:highlight w:val="lightGray"/>
              </w:rPr>
              <w:t>IBAN (opcionale)</w:t>
            </w:r>
          </w:p>
        </w:tc>
        <w:tc>
          <w:tcPr>
            <w:tcW w:w="6441" w:type="dxa"/>
            <w:tcBorders>
              <w:left w:val="single" w:color="auto" w:sz="4" w:space="0"/>
            </w:tcBorders>
          </w:tcPr>
          <w:p w14:paraId="4C058EF7">
            <w:pPr>
              <w:spacing w:after="0"/>
              <w:jc w:val="left"/>
              <w:rPr>
                <w:b/>
                <w:sz w:val="22"/>
                <w:szCs w:val="22"/>
              </w:rPr>
            </w:pPr>
          </w:p>
        </w:tc>
      </w:tr>
      <w:tr w14:paraId="101E5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088" w:type="dxa"/>
            <w:gridSpan w:val="2"/>
            <w:tcBorders>
              <w:right w:val="single" w:color="auto" w:sz="4" w:space="0"/>
            </w:tcBorders>
          </w:tcPr>
          <w:p w14:paraId="1DB3CB8F">
            <w:pPr>
              <w:spacing w:after="0"/>
              <w:jc w:val="left"/>
              <w:rPr>
                <w:b/>
                <w:sz w:val="22"/>
                <w:szCs w:val="22"/>
                <w:highlight w:val="lightGray"/>
              </w:rPr>
            </w:pPr>
            <w:r>
              <w:rPr>
                <w:b/>
                <w:sz w:val="22"/>
                <w:szCs w:val="22"/>
                <w:highlight w:val="lightGray"/>
              </w:rPr>
              <w:t>BIC (Opcionale)</w:t>
            </w:r>
          </w:p>
        </w:tc>
        <w:tc>
          <w:tcPr>
            <w:tcW w:w="6441" w:type="dxa"/>
            <w:tcBorders>
              <w:left w:val="single" w:color="auto" w:sz="4" w:space="0"/>
            </w:tcBorders>
          </w:tcPr>
          <w:p w14:paraId="1594FF99">
            <w:pPr>
              <w:spacing w:after="0"/>
              <w:jc w:val="left"/>
              <w:rPr>
                <w:b/>
                <w:sz w:val="22"/>
                <w:szCs w:val="22"/>
              </w:rPr>
            </w:pPr>
          </w:p>
        </w:tc>
      </w:tr>
    </w:tbl>
    <w:p w14:paraId="76284DF8">
      <w:pPr>
        <w:rPr>
          <w:b/>
          <w:sz w:val="22"/>
          <w:szCs w:val="22"/>
          <w:u w:val="single"/>
        </w:rPr>
      </w:pPr>
      <w:r>
        <w:rPr>
          <w:b/>
          <w:sz w:val="22"/>
          <w:szCs w:val="22"/>
          <w:u w:val="single"/>
        </w:rPr>
        <w:t>SHËNIME:</w:t>
      </w:r>
    </w:p>
    <w:tbl>
      <w:tblPr>
        <w:tblStyle w:val="12"/>
        <w:tblW w:w="85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708"/>
        <w:gridCol w:w="1193"/>
        <w:gridCol w:w="3667"/>
      </w:tblGrid>
      <w:tr w14:paraId="59C5B7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708" w:type="dxa"/>
          </w:tcPr>
          <w:p w14:paraId="03441A15">
            <w:pPr>
              <w:rPr>
                <w:b/>
                <w:sz w:val="22"/>
                <w:szCs w:val="22"/>
                <w:u w:val="single"/>
              </w:rPr>
            </w:pPr>
            <w:r>
              <w:rPr>
                <w:b/>
                <w:sz w:val="22"/>
                <w:szCs w:val="22"/>
                <w:highlight w:val="lightGray"/>
                <w:u w:val="single"/>
              </w:rPr>
              <w:t>VULA E BANKËS + NËNSHKRIMI i PËRFAQËSUESIT TË BANKËS (Të dyja të obligueshme)</w:t>
            </w:r>
          </w:p>
          <w:p w14:paraId="66A95C30">
            <w:pPr>
              <w:rPr>
                <w:b/>
                <w:sz w:val="22"/>
                <w:szCs w:val="22"/>
                <w:highlight w:val="lightGray"/>
                <w:u w:val="single"/>
              </w:rPr>
            </w:pPr>
          </w:p>
          <w:p w14:paraId="0A427F00">
            <w:pPr>
              <w:rPr>
                <w:b/>
                <w:sz w:val="22"/>
                <w:szCs w:val="22"/>
                <w:highlight w:val="lightGray"/>
                <w:u w:val="single"/>
              </w:rPr>
            </w:pPr>
          </w:p>
          <w:p w14:paraId="340EDA26">
            <w:pPr>
              <w:rPr>
                <w:b/>
                <w:sz w:val="22"/>
                <w:szCs w:val="22"/>
                <w:highlight w:val="lightGray"/>
                <w:u w:val="single"/>
              </w:rPr>
            </w:pPr>
          </w:p>
          <w:p w14:paraId="38D3B1A8">
            <w:pPr>
              <w:rPr>
                <w:b/>
                <w:sz w:val="22"/>
                <w:szCs w:val="22"/>
                <w:highlight w:val="lightGray"/>
                <w:u w:val="single"/>
              </w:rPr>
            </w:pPr>
          </w:p>
        </w:tc>
        <w:tc>
          <w:tcPr>
            <w:tcW w:w="1193" w:type="dxa"/>
            <w:tcBorders>
              <w:top w:val="nil"/>
              <w:bottom w:val="nil"/>
            </w:tcBorders>
          </w:tcPr>
          <w:p w14:paraId="2C53494F">
            <w:pPr>
              <w:rPr>
                <w:b/>
                <w:sz w:val="22"/>
                <w:szCs w:val="22"/>
                <w:u w:val="single"/>
              </w:rPr>
            </w:pPr>
          </w:p>
        </w:tc>
        <w:tc>
          <w:tcPr>
            <w:tcW w:w="3667" w:type="dxa"/>
          </w:tcPr>
          <w:p w14:paraId="123015EC">
            <w:pPr>
              <w:rPr>
                <w:b/>
                <w:sz w:val="22"/>
                <w:szCs w:val="22"/>
                <w:u w:val="single"/>
              </w:rPr>
            </w:pPr>
            <w:r>
              <w:rPr>
                <w:b/>
                <w:sz w:val="22"/>
                <w:szCs w:val="22"/>
                <w:highlight w:val="lightGray"/>
                <w:u w:val="single"/>
              </w:rPr>
              <w:t>DATA + NËNSHKRIMI i MBAJTËSIT TË LLOGARISË: (e obligueshme)</w:t>
            </w:r>
          </w:p>
        </w:tc>
      </w:tr>
    </w:tbl>
    <w:p w14:paraId="1118EA5E">
      <w:pPr>
        <w:pStyle w:val="2"/>
        <w:rPr>
          <w:rFonts w:ascii="Times New Roman" w:hAnsi="Times New Roman"/>
          <w:sz w:val="22"/>
          <w:szCs w:val="22"/>
        </w:rPr>
      </w:pPr>
      <w:bookmarkStart w:id="130" w:name="_Toc444607962"/>
    </w:p>
    <w:p w14:paraId="20F7E191">
      <w:pPr>
        <w:rPr>
          <w:lang w:val="en-GB"/>
        </w:rPr>
      </w:pPr>
    </w:p>
    <w:p w14:paraId="5776F3E3">
      <w:pPr>
        <w:rPr>
          <w:lang w:val="en-GB"/>
        </w:rPr>
      </w:pPr>
    </w:p>
    <w:p w14:paraId="03E3E1BB">
      <w:pPr>
        <w:pStyle w:val="2"/>
        <w:rPr>
          <w:rFonts w:ascii="Times New Roman" w:hAnsi="Times New Roman"/>
          <w:i/>
          <w:sz w:val="22"/>
          <w:szCs w:val="22"/>
          <w:u w:val="single"/>
          <w:lang w:val="sq-AL"/>
        </w:rPr>
      </w:pPr>
      <w:r>
        <w:rPr>
          <w:rFonts w:ascii="Times New Roman" w:hAnsi="Times New Roman"/>
          <w:i/>
          <w:sz w:val="22"/>
          <w:szCs w:val="22"/>
          <w:u w:val="single"/>
          <w:lang w:val="sq-AL"/>
        </w:rPr>
        <w:t>PJESA  C:</w:t>
      </w:r>
      <w:r>
        <w:rPr>
          <w:rFonts w:ascii="Times New Roman" w:hAnsi="Times New Roman"/>
          <w:i/>
          <w:sz w:val="22"/>
          <w:szCs w:val="22"/>
          <w:lang w:val="sq-AL"/>
        </w:rPr>
        <w:t xml:space="preserve">  FORMULAR PËR DORËZIMIN E TENDERIT</w:t>
      </w:r>
      <w:bookmarkEnd w:id="130"/>
    </w:p>
    <w:p w14:paraId="585784A5">
      <w:pPr>
        <w:pStyle w:val="2"/>
        <w:rPr>
          <w:rFonts w:ascii="Times New Roman" w:hAnsi="Times New Roman"/>
          <w:sz w:val="22"/>
          <w:szCs w:val="22"/>
          <w:lang w:val="sq-AL"/>
        </w:rPr>
      </w:pPr>
      <w:bookmarkStart w:id="131" w:name="_Toc444607963"/>
      <w:r>
        <w:rPr>
          <w:rFonts w:ascii="Times New Roman" w:hAnsi="Times New Roman"/>
          <w:sz w:val="22"/>
          <w:szCs w:val="22"/>
          <w:lang w:val="sq-AL"/>
        </w:rPr>
        <w:t>Pjesa I.  Formulari i Tenderit</w:t>
      </w:r>
      <w:bookmarkEnd w:id="131"/>
    </w:p>
    <w:p w14:paraId="3088933F">
      <w:pPr>
        <w:rPr>
          <w:b/>
          <w:bCs/>
          <w:sz w:val="22"/>
          <w:szCs w:val="22"/>
          <w:highlight w:val="yellow"/>
        </w:rPr>
      </w:pPr>
      <w:bookmarkStart w:id="132" w:name="_Toc446425278"/>
      <w:r>
        <w:rPr>
          <w:b/>
          <w:bCs/>
          <w:sz w:val="22"/>
          <w:szCs w:val="22"/>
          <w:highlight w:val="yellow"/>
        </w:rPr>
        <w:t>Shënim:</w:t>
      </w:r>
      <w:bookmarkEnd w:id="132"/>
    </w:p>
    <w:p w14:paraId="0285A18C">
      <w:pPr>
        <w:rPr>
          <w:b/>
          <w:bCs/>
          <w:sz w:val="22"/>
          <w:szCs w:val="22"/>
        </w:rPr>
      </w:pPr>
      <w:r>
        <w:rPr>
          <w:b/>
          <w:bCs/>
          <w:sz w:val="22"/>
          <w:szCs w:val="22"/>
          <w:highlight w:val="yellow"/>
        </w:rPr>
        <w:t>Formulari i tenderit duhet të krijohet në sistemin e prokurimit publik te Kosovës E-prokurimi pasi që tenderi duhet te dorëzohet në mënyre elektronike.</w:t>
      </w:r>
      <w:r>
        <w:rPr>
          <w:b/>
          <w:bCs/>
          <w:sz w:val="22"/>
          <w:szCs w:val="22"/>
        </w:rPr>
        <w:t xml:space="preserve">  </w:t>
      </w:r>
    </w:p>
    <w:p w14:paraId="103A9ED8">
      <w:pPr>
        <w:spacing w:after="0"/>
        <w:rPr>
          <w:b/>
          <w:sz w:val="22"/>
          <w:szCs w:val="22"/>
        </w:rPr>
      </w:pPr>
    </w:p>
    <w:p w14:paraId="33EC904C">
      <w:pPr>
        <w:spacing w:after="0"/>
        <w:jc w:val="center"/>
        <w:rPr>
          <w:b/>
          <w:sz w:val="22"/>
          <w:szCs w:val="22"/>
        </w:rPr>
      </w:pPr>
    </w:p>
    <w:p w14:paraId="1568868F">
      <w:pPr>
        <w:spacing w:after="0"/>
        <w:jc w:val="center"/>
        <w:rPr>
          <w:b/>
          <w:sz w:val="22"/>
          <w:szCs w:val="22"/>
        </w:rPr>
      </w:pPr>
    </w:p>
    <w:p w14:paraId="65FED258">
      <w:pPr>
        <w:spacing w:after="0"/>
        <w:jc w:val="center"/>
        <w:rPr>
          <w:b/>
          <w:sz w:val="22"/>
          <w:szCs w:val="22"/>
        </w:rPr>
      </w:pPr>
    </w:p>
    <w:p w14:paraId="7BD87539">
      <w:pPr>
        <w:spacing w:after="0"/>
        <w:jc w:val="center"/>
        <w:rPr>
          <w:b/>
          <w:sz w:val="22"/>
          <w:szCs w:val="22"/>
        </w:rPr>
      </w:pPr>
    </w:p>
    <w:p w14:paraId="3A160431">
      <w:pPr>
        <w:spacing w:after="0"/>
        <w:jc w:val="center"/>
        <w:rPr>
          <w:b/>
          <w:sz w:val="22"/>
          <w:szCs w:val="22"/>
        </w:rPr>
      </w:pPr>
    </w:p>
    <w:p w14:paraId="79ABA8A2">
      <w:pPr>
        <w:spacing w:after="0"/>
        <w:jc w:val="center"/>
        <w:rPr>
          <w:b/>
          <w:sz w:val="22"/>
          <w:szCs w:val="22"/>
        </w:rPr>
      </w:pPr>
    </w:p>
    <w:p w14:paraId="49715114">
      <w:pPr>
        <w:spacing w:after="0"/>
        <w:jc w:val="center"/>
        <w:rPr>
          <w:b/>
          <w:sz w:val="22"/>
          <w:szCs w:val="22"/>
        </w:rPr>
      </w:pPr>
    </w:p>
    <w:p w14:paraId="1B403A6B">
      <w:pPr>
        <w:spacing w:after="0"/>
        <w:jc w:val="center"/>
        <w:rPr>
          <w:b/>
          <w:sz w:val="22"/>
          <w:szCs w:val="22"/>
        </w:rPr>
      </w:pPr>
    </w:p>
    <w:p w14:paraId="0A0DDFA9">
      <w:pPr>
        <w:spacing w:after="0"/>
        <w:jc w:val="center"/>
        <w:rPr>
          <w:b/>
          <w:sz w:val="22"/>
          <w:szCs w:val="22"/>
        </w:rPr>
      </w:pPr>
    </w:p>
    <w:p w14:paraId="514A0021">
      <w:pPr>
        <w:spacing w:after="0"/>
        <w:jc w:val="center"/>
        <w:rPr>
          <w:b/>
          <w:sz w:val="22"/>
          <w:szCs w:val="22"/>
        </w:rPr>
      </w:pPr>
    </w:p>
    <w:p w14:paraId="1EF3D280">
      <w:pPr>
        <w:spacing w:after="0"/>
        <w:jc w:val="center"/>
        <w:rPr>
          <w:b/>
          <w:sz w:val="22"/>
          <w:szCs w:val="22"/>
        </w:rPr>
      </w:pPr>
    </w:p>
    <w:p w14:paraId="0ADF2A2E">
      <w:pPr>
        <w:spacing w:after="0"/>
        <w:rPr>
          <w:b/>
          <w:sz w:val="22"/>
          <w:szCs w:val="22"/>
        </w:rPr>
      </w:pPr>
    </w:p>
    <w:sectPr>
      <w:footerReference r:id="rId6" w:type="first"/>
      <w:headerReference r:id="rId4" w:type="default"/>
      <w:footerReference r:id="rId5" w:type="default"/>
      <w:pgSz w:w="12240" w:h="15840"/>
      <w:pgMar w:top="1530" w:right="1440" w:bottom="1440" w:left="1440" w:header="706" w:footer="706"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imesNewRomanP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S Sans Serif">
    <w:altName w:val="Segoe Print"/>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Optima">
    <w:altName w:val="Times New Roman"/>
    <w:panose1 w:val="00000000000000000000"/>
    <w:charset w:val="00"/>
    <w:family w:val="auto"/>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Arial (W1)">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189108"/>
      <w:docPartObj>
        <w:docPartGallery w:val="AutoText"/>
      </w:docPartObj>
    </w:sdtPr>
    <w:sdtContent>
      <w:p w14:paraId="033D2F88">
        <w:pPr>
          <w:pStyle w:val="40"/>
          <w:jc w:val="left"/>
        </w:pPr>
        <w:r>
          <w:tab/>
        </w:r>
        <w:r>
          <w:tab/>
        </w:r>
        <w:r>
          <w:fldChar w:fldCharType="begin"/>
        </w:r>
        <w:r>
          <w:instrText xml:space="preserve"> PAGE   \* MERGEFORMAT </w:instrText>
        </w:r>
        <w:r>
          <w:fldChar w:fldCharType="separate"/>
        </w:r>
        <w:r>
          <w:t>13</w:t>
        </w:r>
        <w:r>
          <w:fldChar w:fldCharType="end"/>
        </w:r>
      </w:p>
    </w:sdtContent>
  </w:sdt>
  <w:p w14:paraId="5D551F57">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203268"/>
      <w:docPartObj>
        <w:docPartGallery w:val="AutoText"/>
      </w:docPartObj>
    </w:sdtPr>
    <w:sdtContent>
      <w:p w14:paraId="0C65A6CA">
        <w:pPr>
          <w:pStyle w:val="40"/>
          <w:jc w:val="right"/>
        </w:pPr>
        <w:r>
          <w:fldChar w:fldCharType="begin"/>
        </w:r>
        <w:r>
          <w:instrText xml:space="preserve"> PAGE   \* MERGEFORMAT </w:instrText>
        </w:r>
        <w:r>
          <w:fldChar w:fldCharType="separate"/>
        </w:r>
        <w:r>
          <w:t>1</w:t>
        </w:r>
        <w:r>
          <w:fldChar w:fldCharType="end"/>
        </w:r>
      </w:p>
    </w:sdtContent>
  </w:sdt>
  <w:p w14:paraId="32BC5432">
    <w:pPr>
      <w:pStyle w:val="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7CDF">
    <w:pPr>
      <w:spacing w:after="0"/>
      <w:jc w:val="center"/>
      <w:outlineLvl w:val="1"/>
      <w:rPr>
        <w:rFonts w:ascii="Arial" w:hAnsi="Arial" w:cs="Arial"/>
        <w:sz w:val="20"/>
      </w:rPr>
    </w:pPr>
    <w:r>
      <w:rPr>
        <w:rFonts w:ascii="Arial" w:hAnsi="Arial" w:cs="Arial"/>
        <w:sz w:val="20"/>
      </w:rPr>
      <w:t>Numri i Prokurimit:</w:t>
    </w:r>
    <w:r>
      <w:rPr>
        <w:b/>
        <w:color w:val="333333"/>
        <w:lang w:val="en-US"/>
      </w:rPr>
      <w:t xml:space="preserve"> </w:t>
    </w:r>
    <w:bookmarkStart w:id="133" w:name="_Hlk225338957"/>
    <w:r>
      <w:rPr>
        <w:b/>
        <w:color w:val="333333"/>
        <w:lang w:val="en-US"/>
      </w:rPr>
      <w:t>201/26300-26-1599-2-1-5</w:t>
    </w:r>
    <w:r>
      <w:rPr>
        <w:rFonts w:ascii="Arial" w:hAnsi="Arial" w:cs="Arial"/>
        <w:sz w:val="20"/>
      </w:rPr>
      <w:t xml:space="preserve"> </w:t>
    </w:r>
    <w:bookmarkEnd w:id="133"/>
    <w:r>
      <w:rPr>
        <w:rFonts w:ascii="Arial" w:hAnsi="Arial" w:cs="Arial"/>
        <w:sz w:val="20"/>
      </w:rPr>
      <w:t xml:space="preserve">Titulli: </w:t>
    </w:r>
    <w:r>
      <w:rPr>
        <w:b/>
        <w:bCs/>
        <w:sz w:val="22"/>
        <w:szCs w:val="22"/>
      </w:rPr>
      <w:t>Vazhdimi i Garancionit dhe Shërbimeve të Mbështetjes për Sistemin Nacional të Monitorimit të Spektrit Radio Frekuencor (SNMS)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74"/>
      <w:lvlText w:val="%1."/>
      <w:lvlJc w:val="left"/>
      <w:pPr>
        <w:tabs>
          <w:tab w:val="left" w:pos="1209"/>
        </w:tabs>
        <w:ind w:left="1209" w:hanging="360"/>
      </w:pPr>
    </w:lvl>
  </w:abstractNum>
  <w:abstractNum w:abstractNumId="1">
    <w:nsid w:val="FFFFFF7E"/>
    <w:multiLevelType w:val="singleLevel"/>
    <w:tmpl w:val="FFFFFF7E"/>
    <w:lvl w:ilvl="0" w:tentative="0">
      <w:start w:val="1"/>
      <w:numFmt w:val="decimal"/>
      <w:pStyle w:val="73"/>
      <w:lvlText w:val="%1."/>
      <w:lvlJc w:val="left"/>
      <w:pPr>
        <w:tabs>
          <w:tab w:val="left" w:pos="926"/>
        </w:tabs>
        <w:ind w:left="926" w:hanging="360"/>
      </w:pPr>
    </w:lvl>
  </w:abstractNum>
  <w:abstractNum w:abstractNumId="2">
    <w:nsid w:val="FFFFFF7F"/>
    <w:multiLevelType w:val="singleLevel"/>
    <w:tmpl w:val="FFFFFF7F"/>
    <w:lvl w:ilvl="0" w:tentative="0">
      <w:start w:val="1"/>
      <w:numFmt w:val="decimal"/>
      <w:pStyle w:val="72"/>
      <w:lvlText w:val="%1."/>
      <w:lvlJc w:val="left"/>
      <w:pPr>
        <w:tabs>
          <w:tab w:val="left" w:pos="643"/>
        </w:tabs>
        <w:ind w:left="643" w:hanging="360"/>
      </w:pPr>
    </w:lvl>
  </w:abstractNum>
  <w:abstractNum w:abstractNumId="3">
    <w:nsid w:val="FFFFFF80"/>
    <w:multiLevelType w:val="singleLevel"/>
    <w:tmpl w:val="FFFFFF80"/>
    <w:lvl w:ilvl="0" w:tentative="0">
      <w:start w:val="1"/>
      <w:numFmt w:val="bullet"/>
      <w:pStyle w:val="65"/>
      <w:lvlText w:val=""/>
      <w:lvlJc w:val="left"/>
      <w:pPr>
        <w:tabs>
          <w:tab w:val="left" w:pos="1492"/>
        </w:tabs>
        <w:ind w:left="1492" w:hanging="360"/>
      </w:pPr>
      <w:rPr>
        <w:rFonts w:hint="default" w:ascii="Symbol" w:hAnsi="Symbol"/>
      </w:rPr>
    </w:lvl>
  </w:abstractNum>
  <w:abstractNum w:abstractNumId="4">
    <w:nsid w:val="FFFFFF81"/>
    <w:multiLevelType w:val="singleLevel"/>
    <w:tmpl w:val="FFFFFF81"/>
    <w:lvl w:ilvl="0" w:tentative="0">
      <w:start w:val="1"/>
      <w:numFmt w:val="bullet"/>
      <w:pStyle w:val="64"/>
      <w:lvlText w:val=""/>
      <w:lvlJc w:val="left"/>
      <w:pPr>
        <w:tabs>
          <w:tab w:val="left" w:pos="1209"/>
        </w:tabs>
        <w:ind w:left="1209" w:hanging="360"/>
      </w:pPr>
      <w:rPr>
        <w:rFonts w:hint="default" w:ascii="Symbol" w:hAnsi="Symbol"/>
      </w:rPr>
    </w:lvl>
  </w:abstractNum>
  <w:abstractNum w:abstractNumId="5">
    <w:nsid w:val="FFFFFF82"/>
    <w:multiLevelType w:val="singleLevel"/>
    <w:tmpl w:val="FFFFFF82"/>
    <w:lvl w:ilvl="0" w:tentative="0">
      <w:start w:val="1"/>
      <w:numFmt w:val="bullet"/>
      <w:pStyle w:val="63"/>
      <w:lvlText w:val=""/>
      <w:lvlJc w:val="left"/>
      <w:pPr>
        <w:tabs>
          <w:tab w:val="left" w:pos="926"/>
        </w:tabs>
        <w:ind w:left="926" w:hanging="360"/>
      </w:pPr>
      <w:rPr>
        <w:rFonts w:hint="default" w:ascii="Symbol" w:hAnsi="Symbol"/>
      </w:rPr>
    </w:lvl>
  </w:abstractNum>
  <w:abstractNum w:abstractNumId="6">
    <w:nsid w:val="FFFFFF83"/>
    <w:multiLevelType w:val="singleLevel"/>
    <w:tmpl w:val="FFFFFF83"/>
    <w:lvl w:ilvl="0" w:tentative="0">
      <w:start w:val="1"/>
      <w:numFmt w:val="bullet"/>
      <w:pStyle w:val="62"/>
      <w:lvlText w:val=""/>
      <w:lvlJc w:val="left"/>
      <w:pPr>
        <w:tabs>
          <w:tab w:val="left" w:pos="643"/>
        </w:tabs>
        <w:ind w:left="643" w:hanging="360"/>
      </w:pPr>
      <w:rPr>
        <w:rFonts w:hint="default" w:ascii="Symbol" w:hAnsi="Symbol"/>
      </w:rPr>
    </w:lvl>
  </w:abstractNum>
  <w:abstractNum w:abstractNumId="7">
    <w:nsid w:val="FFFFFF88"/>
    <w:multiLevelType w:val="singleLevel"/>
    <w:tmpl w:val="FFFFFF88"/>
    <w:lvl w:ilvl="0" w:tentative="0">
      <w:start w:val="1"/>
      <w:numFmt w:val="decimal"/>
      <w:pStyle w:val="71"/>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61"/>
      <w:lvlText w:val=""/>
      <w:lvlJc w:val="left"/>
      <w:pPr>
        <w:tabs>
          <w:tab w:val="left" w:pos="360"/>
        </w:tabs>
        <w:ind w:left="360" w:hanging="360"/>
      </w:pPr>
      <w:rPr>
        <w:rFonts w:hint="default" w:ascii="Symbol" w:hAnsi="Symbol"/>
      </w:rPr>
    </w:lvl>
  </w:abstractNum>
  <w:abstractNum w:abstractNumId="9">
    <w:nsid w:val="01A96CB7"/>
    <w:multiLevelType w:val="multilevel"/>
    <w:tmpl w:val="01A96CB7"/>
    <w:lvl w:ilvl="0" w:tentative="0">
      <w:start w:val="1"/>
      <w:numFmt w:val="lowerLetter"/>
      <w:lvlText w:val="%1."/>
      <w:lvlJc w:val="left"/>
      <w:pPr>
        <w:tabs>
          <w:tab w:val="left" w:pos="2740"/>
        </w:tabs>
        <w:ind w:left="2740" w:hanging="360"/>
      </w:pPr>
      <w:rPr>
        <w:rFonts w:hint="default"/>
      </w:rPr>
    </w:lvl>
    <w:lvl w:ilvl="1" w:tentative="0">
      <w:start w:val="1"/>
      <w:numFmt w:val="lowerLetter"/>
      <w:lvlText w:val="%2."/>
      <w:lvlJc w:val="left"/>
      <w:pPr>
        <w:tabs>
          <w:tab w:val="left" w:pos="4000"/>
        </w:tabs>
        <w:ind w:left="4000" w:hanging="360"/>
      </w:pPr>
    </w:lvl>
    <w:lvl w:ilvl="2" w:tentative="0">
      <w:start w:val="1"/>
      <w:numFmt w:val="lowerRoman"/>
      <w:lvlText w:val="%3."/>
      <w:lvlJc w:val="right"/>
      <w:pPr>
        <w:tabs>
          <w:tab w:val="left" w:pos="4720"/>
        </w:tabs>
        <w:ind w:left="4720" w:hanging="180"/>
      </w:pPr>
    </w:lvl>
    <w:lvl w:ilvl="3" w:tentative="0">
      <w:start w:val="1"/>
      <w:numFmt w:val="decimal"/>
      <w:lvlText w:val="%4."/>
      <w:lvlJc w:val="left"/>
      <w:pPr>
        <w:tabs>
          <w:tab w:val="left" w:pos="5440"/>
        </w:tabs>
        <w:ind w:left="5440" w:hanging="360"/>
      </w:pPr>
    </w:lvl>
    <w:lvl w:ilvl="4" w:tentative="0">
      <w:start w:val="1"/>
      <w:numFmt w:val="lowerLetter"/>
      <w:lvlText w:val="%5."/>
      <w:lvlJc w:val="left"/>
      <w:pPr>
        <w:tabs>
          <w:tab w:val="left" w:pos="6160"/>
        </w:tabs>
        <w:ind w:left="6160" w:hanging="360"/>
      </w:pPr>
    </w:lvl>
    <w:lvl w:ilvl="5" w:tentative="0">
      <w:start w:val="1"/>
      <w:numFmt w:val="lowerRoman"/>
      <w:lvlText w:val="%6."/>
      <w:lvlJc w:val="right"/>
      <w:pPr>
        <w:tabs>
          <w:tab w:val="left" w:pos="6880"/>
        </w:tabs>
        <w:ind w:left="6880" w:hanging="180"/>
      </w:pPr>
    </w:lvl>
    <w:lvl w:ilvl="6" w:tentative="0">
      <w:start w:val="1"/>
      <w:numFmt w:val="decimal"/>
      <w:lvlText w:val="%7."/>
      <w:lvlJc w:val="left"/>
      <w:pPr>
        <w:tabs>
          <w:tab w:val="left" w:pos="7600"/>
        </w:tabs>
        <w:ind w:left="7600" w:hanging="360"/>
      </w:pPr>
    </w:lvl>
    <w:lvl w:ilvl="7" w:tentative="0">
      <w:start w:val="1"/>
      <w:numFmt w:val="lowerLetter"/>
      <w:lvlText w:val="%8."/>
      <w:lvlJc w:val="left"/>
      <w:pPr>
        <w:tabs>
          <w:tab w:val="left" w:pos="8320"/>
        </w:tabs>
        <w:ind w:left="8320" w:hanging="360"/>
      </w:pPr>
    </w:lvl>
    <w:lvl w:ilvl="8" w:tentative="0">
      <w:start w:val="1"/>
      <w:numFmt w:val="lowerRoman"/>
      <w:lvlText w:val="%9."/>
      <w:lvlJc w:val="right"/>
      <w:pPr>
        <w:tabs>
          <w:tab w:val="left" w:pos="9040"/>
        </w:tabs>
        <w:ind w:left="9040" w:hanging="180"/>
      </w:pPr>
    </w:lvl>
  </w:abstractNum>
  <w:abstractNum w:abstractNumId="10">
    <w:nsid w:val="05DD0EEC"/>
    <w:multiLevelType w:val="multilevel"/>
    <w:tmpl w:val="05DD0EE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7455F7"/>
    <w:multiLevelType w:val="multilevel"/>
    <w:tmpl w:val="1B7455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0FD3BB0"/>
    <w:multiLevelType w:val="multilevel"/>
    <w:tmpl w:val="20FD3BB0"/>
    <w:lvl w:ilvl="0" w:tentative="0">
      <w:start w:val="1"/>
      <w:numFmt w:val="bullet"/>
      <w:lvlText w:val=""/>
      <w:lvlJc w:val="left"/>
      <w:pPr>
        <w:ind w:left="3270" w:hanging="360"/>
      </w:pPr>
      <w:rPr>
        <w:rFonts w:hint="default" w:ascii="Symbol" w:hAnsi="Symbol"/>
      </w:rPr>
    </w:lvl>
    <w:lvl w:ilvl="1" w:tentative="0">
      <w:start w:val="1"/>
      <w:numFmt w:val="bullet"/>
      <w:lvlText w:val="o"/>
      <w:lvlJc w:val="left"/>
      <w:pPr>
        <w:ind w:left="3990" w:hanging="360"/>
      </w:pPr>
      <w:rPr>
        <w:rFonts w:hint="default" w:ascii="Courier New" w:hAnsi="Courier New" w:cs="Courier New"/>
      </w:rPr>
    </w:lvl>
    <w:lvl w:ilvl="2" w:tentative="0">
      <w:start w:val="1"/>
      <w:numFmt w:val="bullet"/>
      <w:lvlText w:val=""/>
      <w:lvlJc w:val="left"/>
      <w:pPr>
        <w:ind w:left="4710" w:hanging="360"/>
      </w:pPr>
      <w:rPr>
        <w:rFonts w:hint="default" w:ascii="Wingdings" w:hAnsi="Wingdings"/>
      </w:rPr>
    </w:lvl>
    <w:lvl w:ilvl="3" w:tentative="0">
      <w:start w:val="1"/>
      <w:numFmt w:val="bullet"/>
      <w:lvlText w:val=""/>
      <w:lvlJc w:val="left"/>
      <w:pPr>
        <w:ind w:left="5430" w:hanging="360"/>
      </w:pPr>
      <w:rPr>
        <w:rFonts w:hint="default" w:ascii="Symbol" w:hAnsi="Symbol"/>
      </w:rPr>
    </w:lvl>
    <w:lvl w:ilvl="4" w:tentative="0">
      <w:start w:val="1"/>
      <w:numFmt w:val="bullet"/>
      <w:lvlText w:val="o"/>
      <w:lvlJc w:val="left"/>
      <w:pPr>
        <w:ind w:left="6150" w:hanging="360"/>
      </w:pPr>
      <w:rPr>
        <w:rFonts w:hint="default" w:ascii="Courier New" w:hAnsi="Courier New" w:cs="Courier New"/>
      </w:rPr>
    </w:lvl>
    <w:lvl w:ilvl="5" w:tentative="0">
      <w:start w:val="1"/>
      <w:numFmt w:val="bullet"/>
      <w:lvlText w:val=""/>
      <w:lvlJc w:val="left"/>
      <w:pPr>
        <w:ind w:left="6870" w:hanging="360"/>
      </w:pPr>
      <w:rPr>
        <w:rFonts w:hint="default" w:ascii="Wingdings" w:hAnsi="Wingdings"/>
      </w:rPr>
    </w:lvl>
    <w:lvl w:ilvl="6" w:tentative="0">
      <w:start w:val="1"/>
      <w:numFmt w:val="bullet"/>
      <w:lvlText w:val=""/>
      <w:lvlJc w:val="left"/>
      <w:pPr>
        <w:ind w:left="7590" w:hanging="360"/>
      </w:pPr>
      <w:rPr>
        <w:rFonts w:hint="default" w:ascii="Symbol" w:hAnsi="Symbol"/>
      </w:rPr>
    </w:lvl>
    <w:lvl w:ilvl="7" w:tentative="0">
      <w:start w:val="1"/>
      <w:numFmt w:val="bullet"/>
      <w:lvlText w:val="o"/>
      <w:lvlJc w:val="left"/>
      <w:pPr>
        <w:ind w:left="8310" w:hanging="360"/>
      </w:pPr>
      <w:rPr>
        <w:rFonts w:hint="default" w:ascii="Courier New" w:hAnsi="Courier New" w:cs="Courier New"/>
      </w:rPr>
    </w:lvl>
    <w:lvl w:ilvl="8" w:tentative="0">
      <w:start w:val="1"/>
      <w:numFmt w:val="bullet"/>
      <w:lvlText w:val=""/>
      <w:lvlJc w:val="left"/>
      <w:pPr>
        <w:ind w:left="9030" w:hanging="360"/>
      </w:pPr>
      <w:rPr>
        <w:rFonts w:hint="default" w:ascii="Wingdings" w:hAnsi="Wingdings"/>
      </w:rPr>
    </w:lvl>
  </w:abstractNum>
  <w:abstractNum w:abstractNumId="13">
    <w:nsid w:val="2258472D"/>
    <w:multiLevelType w:val="multilevel"/>
    <w:tmpl w:val="225847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6BC26F3"/>
    <w:multiLevelType w:val="multilevel"/>
    <w:tmpl w:val="26BC26F3"/>
    <w:lvl w:ilvl="0" w:tentative="0">
      <w:start w:val="1"/>
      <w:numFmt w:val="lowerLetter"/>
      <w:lvlText w:val="%1."/>
      <w:lvlJc w:val="left"/>
      <w:pPr>
        <w:tabs>
          <w:tab w:val="left" w:pos="540"/>
        </w:tabs>
        <w:ind w:left="540" w:hanging="360"/>
      </w:pPr>
      <w:rPr>
        <w:rFonts w:hint="default" w:ascii="Arial" w:hAnsi="Arial" w:cs="Arial"/>
        <w:sz w:val="20"/>
        <w:szCs w:val="20"/>
      </w:rPr>
    </w:lvl>
    <w:lvl w:ilvl="1" w:tentative="0">
      <w:start w:val="1"/>
      <w:numFmt w:val="lowerLetter"/>
      <w:lvlText w:val="%2."/>
      <w:lvlJc w:val="left"/>
      <w:pPr>
        <w:tabs>
          <w:tab w:val="left" w:pos="1307"/>
        </w:tabs>
        <w:ind w:left="1307" w:hanging="360"/>
      </w:pPr>
    </w:lvl>
    <w:lvl w:ilvl="2" w:tentative="0">
      <w:start w:val="1"/>
      <w:numFmt w:val="lowerRoman"/>
      <w:lvlText w:val="%3."/>
      <w:lvlJc w:val="right"/>
      <w:pPr>
        <w:tabs>
          <w:tab w:val="left" w:pos="2027"/>
        </w:tabs>
        <w:ind w:left="2027" w:hanging="180"/>
      </w:pPr>
    </w:lvl>
    <w:lvl w:ilvl="3" w:tentative="0">
      <w:start w:val="1"/>
      <w:numFmt w:val="decimal"/>
      <w:lvlText w:val="%4."/>
      <w:lvlJc w:val="left"/>
      <w:pPr>
        <w:tabs>
          <w:tab w:val="left" w:pos="2747"/>
        </w:tabs>
        <w:ind w:left="2747" w:hanging="360"/>
      </w:pPr>
    </w:lvl>
    <w:lvl w:ilvl="4" w:tentative="0">
      <w:start w:val="1"/>
      <w:numFmt w:val="lowerLetter"/>
      <w:lvlText w:val="%5."/>
      <w:lvlJc w:val="left"/>
      <w:pPr>
        <w:tabs>
          <w:tab w:val="left" w:pos="3467"/>
        </w:tabs>
        <w:ind w:left="3467" w:hanging="360"/>
      </w:pPr>
    </w:lvl>
    <w:lvl w:ilvl="5" w:tentative="0">
      <w:start w:val="1"/>
      <w:numFmt w:val="lowerRoman"/>
      <w:lvlText w:val="%6."/>
      <w:lvlJc w:val="right"/>
      <w:pPr>
        <w:tabs>
          <w:tab w:val="left" w:pos="4187"/>
        </w:tabs>
        <w:ind w:left="4187" w:hanging="180"/>
      </w:pPr>
    </w:lvl>
    <w:lvl w:ilvl="6" w:tentative="0">
      <w:start w:val="1"/>
      <w:numFmt w:val="decimal"/>
      <w:lvlText w:val="%7."/>
      <w:lvlJc w:val="left"/>
      <w:pPr>
        <w:tabs>
          <w:tab w:val="left" w:pos="4907"/>
        </w:tabs>
        <w:ind w:left="4907" w:hanging="360"/>
      </w:pPr>
    </w:lvl>
    <w:lvl w:ilvl="7" w:tentative="0">
      <w:start w:val="1"/>
      <w:numFmt w:val="lowerLetter"/>
      <w:lvlText w:val="%8."/>
      <w:lvlJc w:val="left"/>
      <w:pPr>
        <w:tabs>
          <w:tab w:val="left" w:pos="5627"/>
        </w:tabs>
        <w:ind w:left="5627" w:hanging="360"/>
      </w:pPr>
    </w:lvl>
    <w:lvl w:ilvl="8" w:tentative="0">
      <w:start w:val="1"/>
      <w:numFmt w:val="lowerRoman"/>
      <w:lvlText w:val="%9."/>
      <w:lvlJc w:val="right"/>
      <w:pPr>
        <w:tabs>
          <w:tab w:val="left" w:pos="6347"/>
        </w:tabs>
        <w:ind w:left="6347" w:hanging="180"/>
      </w:pPr>
    </w:lvl>
  </w:abstractNum>
  <w:abstractNum w:abstractNumId="15">
    <w:nsid w:val="38420CB9"/>
    <w:multiLevelType w:val="multilevel"/>
    <w:tmpl w:val="38420CB9"/>
    <w:lvl w:ilvl="0" w:tentative="0">
      <w:start w:val="1"/>
      <w:numFmt w:val="lowerLetter"/>
      <w:lvlText w:val="%1."/>
      <w:lvlJc w:val="left"/>
      <w:pPr>
        <w:tabs>
          <w:tab w:val="left" w:pos="2565"/>
        </w:tabs>
        <w:ind w:left="2565" w:hanging="360"/>
      </w:pPr>
      <w:rPr>
        <w:rFonts w:ascii="Arial" w:hAnsi="Arial" w:eastAsia="Times New Roman" w:cs="Arial"/>
      </w:rPr>
    </w:lvl>
    <w:lvl w:ilvl="1" w:tentative="0">
      <w:start w:val="1"/>
      <w:numFmt w:val="lowerLetter"/>
      <w:lvlText w:val="%2."/>
      <w:lvlJc w:val="left"/>
      <w:pPr>
        <w:tabs>
          <w:tab w:val="left" w:pos="2925"/>
        </w:tabs>
        <w:ind w:left="2925" w:hanging="360"/>
      </w:pPr>
      <w:rPr>
        <w:rFonts w:ascii="Arial" w:hAnsi="Arial" w:eastAsia="Times New Roman" w:cs="Arial"/>
      </w:rPr>
    </w:lvl>
    <w:lvl w:ilvl="2" w:tentative="0">
      <w:start w:val="3"/>
      <w:numFmt w:val="decimal"/>
      <w:lvlText w:val="%3."/>
      <w:lvlJc w:val="left"/>
      <w:pPr>
        <w:tabs>
          <w:tab w:val="left" w:pos="3825"/>
        </w:tabs>
        <w:ind w:left="3825" w:hanging="360"/>
      </w:pPr>
      <w:rPr>
        <w:rFonts w:hint="default"/>
      </w:rPr>
    </w:lvl>
    <w:lvl w:ilvl="3" w:tentative="0">
      <w:start w:val="1"/>
      <w:numFmt w:val="lowerLetter"/>
      <w:lvlText w:val="%4)"/>
      <w:lvlJc w:val="left"/>
      <w:pPr>
        <w:ind w:left="4365" w:hanging="360"/>
      </w:pPr>
      <w:rPr>
        <w:rFonts w:hint="default"/>
      </w:rPr>
    </w:lvl>
    <w:lvl w:ilvl="4" w:tentative="0">
      <w:start w:val="1"/>
      <w:numFmt w:val="lowerLetter"/>
      <w:lvlText w:val="%5."/>
      <w:lvlJc w:val="left"/>
      <w:pPr>
        <w:tabs>
          <w:tab w:val="left" w:pos="5085"/>
        </w:tabs>
        <w:ind w:left="5085" w:hanging="360"/>
      </w:pPr>
    </w:lvl>
    <w:lvl w:ilvl="5" w:tentative="0">
      <w:start w:val="1"/>
      <w:numFmt w:val="lowerRoman"/>
      <w:lvlText w:val="%6."/>
      <w:lvlJc w:val="right"/>
      <w:pPr>
        <w:tabs>
          <w:tab w:val="left" w:pos="5805"/>
        </w:tabs>
        <w:ind w:left="5805" w:hanging="180"/>
      </w:pPr>
    </w:lvl>
    <w:lvl w:ilvl="6" w:tentative="0">
      <w:start w:val="1"/>
      <w:numFmt w:val="decimal"/>
      <w:lvlText w:val="%7."/>
      <w:lvlJc w:val="left"/>
      <w:pPr>
        <w:tabs>
          <w:tab w:val="left" w:pos="6525"/>
        </w:tabs>
        <w:ind w:left="6525" w:hanging="360"/>
      </w:pPr>
    </w:lvl>
    <w:lvl w:ilvl="7" w:tentative="0">
      <w:start w:val="1"/>
      <w:numFmt w:val="lowerLetter"/>
      <w:lvlText w:val="%8."/>
      <w:lvlJc w:val="left"/>
      <w:pPr>
        <w:tabs>
          <w:tab w:val="left" w:pos="7245"/>
        </w:tabs>
        <w:ind w:left="7245" w:hanging="360"/>
      </w:pPr>
    </w:lvl>
    <w:lvl w:ilvl="8" w:tentative="0">
      <w:start w:val="1"/>
      <w:numFmt w:val="lowerRoman"/>
      <w:lvlText w:val="%9."/>
      <w:lvlJc w:val="right"/>
      <w:pPr>
        <w:tabs>
          <w:tab w:val="left" w:pos="7965"/>
        </w:tabs>
        <w:ind w:left="7965" w:hanging="180"/>
      </w:pPr>
    </w:lvl>
  </w:abstractNum>
  <w:abstractNum w:abstractNumId="16">
    <w:nsid w:val="3AF16ED7"/>
    <w:multiLevelType w:val="multilevel"/>
    <w:tmpl w:val="3AF16E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CB8228B"/>
    <w:multiLevelType w:val="multilevel"/>
    <w:tmpl w:val="3CB8228B"/>
    <w:lvl w:ilvl="0" w:tentative="0">
      <w:start w:val="1"/>
      <w:numFmt w:val="lowerLetter"/>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8">
    <w:nsid w:val="41301CFF"/>
    <w:multiLevelType w:val="multilevel"/>
    <w:tmpl w:val="41301CFF"/>
    <w:lvl w:ilvl="0" w:tentative="0">
      <w:start w:val="1"/>
      <w:numFmt w:val="lowerLetter"/>
      <w:lvlText w:val="%1."/>
      <w:lvlJc w:val="left"/>
      <w:pPr>
        <w:tabs>
          <w:tab w:val="left" w:pos="540"/>
        </w:tabs>
        <w:ind w:left="540" w:hanging="360"/>
      </w:pPr>
      <w:rPr>
        <w:rFonts w:hint="default" w:ascii="Arial" w:hAnsi="Arial" w:cs="Arial"/>
        <w:sz w:val="20"/>
        <w:szCs w:val="20"/>
      </w:rPr>
    </w:lvl>
    <w:lvl w:ilvl="1" w:tentative="0">
      <w:start w:val="1"/>
      <w:numFmt w:val="lowerLetter"/>
      <w:lvlText w:val="%2."/>
      <w:lvlJc w:val="left"/>
      <w:pPr>
        <w:tabs>
          <w:tab w:val="left" w:pos="1307"/>
        </w:tabs>
        <w:ind w:left="1307" w:hanging="360"/>
      </w:pPr>
    </w:lvl>
    <w:lvl w:ilvl="2" w:tentative="0">
      <w:start w:val="1"/>
      <w:numFmt w:val="lowerRoman"/>
      <w:lvlText w:val="%3."/>
      <w:lvlJc w:val="right"/>
      <w:pPr>
        <w:tabs>
          <w:tab w:val="left" w:pos="2027"/>
        </w:tabs>
        <w:ind w:left="2027" w:hanging="180"/>
      </w:pPr>
    </w:lvl>
    <w:lvl w:ilvl="3" w:tentative="0">
      <w:start w:val="1"/>
      <w:numFmt w:val="decimal"/>
      <w:lvlText w:val="%4."/>
      <w:lvlJc w:val="left"/>
      <w:pPr>
        <w:tabs>
          <w:tab w:val="left" w:pos="2747"/>
        </w:tabs>
        <w:ind w:left="2747" w:hanging="360"/>
      </w:pPr>
    </w:lvl>
    <w:lvl w:ilvl="4" w:tentative="0">
      <w:start w:val="1"/>
      <w:numFmt w:val="lowerLetter"/>
      <w:lvlText w:val="%5."/>
      <w:lvlJc w:val="left"/>
      <w:pPr>
        <w:tabs>
          <w:tab w:val="left" w:pos="3467"/>
        </w:tabs>
        <w:ind w:left="3467" w:hanging="360"/>
      </w:pPr>
    </w:lvl>
    <w:lvl w:ilvl="5" w:tentative="0">
      <w:start w:val="1"/>
      <w:numFmt w:val="lowerRoman"/>
      <w:lvlText w:val="%6."/>
      <w:lvlJc w:val="right"/>
      <w:pPr>
        <w:tabs>
          <w:tab w:val="left" w:pos="4187"/>
        </w:tabs>
        <w:ind w:left="4187" w:hanging="180"/>
      </w:pPr>
    </w:lvl>
    <w:lvl w:ilvl="6" w:tentative="0">
      <w:start w:val="1"/>
      <w:numFmt w:val="decimal"/>
      <w:lvlText w:val="%7."/>
      <w:lvlJc w:val="left"/>
      <w:pPr>
        <w:tabs>
          <w:tab w:val="left" w:pos="4907"/>
        </w:tabs>
        <w:ind w:left="4907" w:hanging="360"/>
      </w:pPr>
    </w:lvl>
    <w:lvl w:ilvl="7" w:tentative="0">
      <w:start w:val="1"/>
      <w:numFmt w:val="lowerLetter"/>
      <w:lvlText w:val="%8."/>
      <w:lvlJc w:val="left"/>
      <w:pPr>
        <w:tabs>
          <w:tab w:val="left" w:pos="5627"/>
        </w:tabs>
        <w:ind w:left="5627" w:hanging="360"/>
      </w:pPr>
    </w:lvl>
    <w:lvl w:ilvl="8" w:tentative="0">
      <w:start w:val="1"/>
      <w:numFmt w:val="lowerRoman"/>
      <w:lvlText w:val="%9."/>
      <w:lvlJc w:val="right"/>
      <w:pPr>
        <w:tabs>
          <w:tab w:val="left" w:pos="6347"/>
        </w:tabs>
        <w:ind w:left="6347" w:hanging="180"/>
      </w:pPr>
    </w:lvl>
  </w:abstractNum>
  <w:abstractNum w:abstractNumId="19">
    <w:nsid w:val="48BB6A1B"/>
    <w:multiLevelType w:val="multilevel"/>
    <w:tmpl w:val="48BB6A1B"/>
    <w:lvl w:ilvl="0" w:tentative="0">
      <w:start w:val="1"/>
      <w:numFmt w:val="bullet"/>
      <w:lvlText w:val=""/>
      <w:lvlJc w:val="left"/>
      <w:pPr>
        <w:ind w:left="4440" w:hanging="360"/>
      </w:pPr>
      <w:rPr>
        <w:rFonts w:hint="default" w:ascii="Symbol" w:hAnsi="Symbol"/>
      </w:rPr>
    </w:lvl>
    <w:lvl w:ilvl="1" w:tentative="0">
      <w:start w:val="1"/>
      <w:numFmt w:val="bullet"/>
      <w:lvlText w:val="o"/>
      <w:lvlJc w:val="left"/>
      <w:pPr>
        <w:ind w:left="5160" w:hanging="360"/>
      </w:pPr>
      <w:rPr>
        <w:rFonts w:hint="default" w:ascii="Courier New" w:hAnsi="Courier New" w:cs="Courier New"/>
      </w:rPr>
    </w:lvl>
    <w:lvl w:ilvl="2" w:tentative="0">
      <w:start w:val="1"/>
      <w:numFmt w:val="bullet"/>
      <w:lvlText w:val=""/>
      <w:lvlJc w:val="left"/>
      <w:pPr>
        <w:ind w:left="5880" w:hanging="360"/>
      </w:pPr>
      <w:rPr>
        <w:rFonts w:hint="default" w:ascii="Wingdings" w:hAnsi="Wingdings"/>
      </w:rPr>
    </w:lvl>
    <w:lvl w:ilvl="3" w:tentative="0">
      <w:start w:val="1"/>
      <w:numFmt w:val="bullet"/>
      <w:lvlText w:val=""/>
      <w:lvlJc w:val="left"/>
      <w:pPr>
        <w:ind w:left="6600" w:hanging="360"/>
      </w:pPr>
      <w:rPr>
        <w:rFonts w:hint="default" w:ascii="Symbol" w:hAnsi="Symbol"/>
      </w:rPr>
    </w:lvl>
    <w:lvl w:ilvl="4" w:tentative="0">
      <w:start w:val="1"/>
      <w:numFmt w:val="bullet"/>
      <w:lvlText w:val="o"/>
      <w:lvlJc w:val="left"/>
      <w:pPr>
        <w:ind w:left="7320" w:hanging="360"/>
      </w:pPr>
      <w:rPr>
        <w:rFonts w:hint="default" w:ascii="Courier New" w:hAnsi="Courier New" w:cs="Courier New"/>
      </w:rPr>
    </w:lvl>
    <w:lvl w:ilvl="5" w:tentative="0">
      <w:start w:val="1"/>
      <w:numFmt w:val="bullet"/>
      <w:lvlText w:val=""/>
      <w:lvlJc w:val="left"/>
      <w:pPr>
        <w:ind w:left="8040" w:hanging="360"/>
      </w:pPr>
      <w:rPr>
        <w:rFonts w:hint="default" w:ascii="Wingdings" w:hAnsi="Wingdings"/>
      </w:rPr>
    </w:lvl>
    <w:lvl w:ilvl="6" w:tentative="0">
      <w:start w:val="1"/>
      <w:numFmt w:val="bullet"/>
      <w:lvlText w:val=""/>
      <w:lvlJc w:val="left"/>
      <w:pPr>
        <w:ind w:left="8760" w:hanging="360"/>
      </w:pPr>
      <w:rPr>
        <w:rFonts w:hint="default" w:ascii="Symbol" w:hAnsi="Symbol"/>
      </w:rPr>
    </w:lvl>
    <w:lvl w:ilvl="7" w:tentative="0">
      <w:start w:val="1"/>
      <w:numFmt w:val="bullet"/>
      <w:lvlText w:val="o"/>
      <w:lvlJc w:val="left"/>
      <w:pPr>
        <w:ind w:left="9480" w:hanging="360"/>
      </w:pPr>
      <w:rPr>
        <w:rFonts w:hint="default" w:ascii="Courier New" w:hAnsi="Courier New" w:cs="Courier New"/>
      </w:rPr>
    </w:lvl>
    <w:lvl w:ilvl="8" w:tentative="0">
      <w:start w:val="1"/>
      <w:numFmt w:val="bullet"/>
      <w:lvlText w:val=""/>
      <w:lvlJc w:val="left"/>
      <w:pPr>
        <w:ind w:left="10200" w:hanging="360"/>
      </w:pPr>
      <w:rPr>
        <w:rFonts w:hint="default" w:ascii="Wingdings" w:hAnsi="Wingdings"/>
      </w:rPr>
    </w:lvl>
  </w:abstractNum>
  <w:abstractNum w:abstractNumId="20">
    <w:nsid w:val="49EE7294"/>
    <w:multiLevelType w:val="multilevel"/>
    <w:tmpl w:val="49EE7294"/>
    <w:lvl w:ilvl="0" w:tentative="0">
      <w:start w:val="1"/>
      <w:numFmt w:val="bullet"/>
      <w:lvlText w:val=""/>
      <w:lvlJc w:val="left"/>
      <w:pPr>
        <w:ind w:left="4440" w:hanging="360"/>
      </w:pPr>
      <w:rPr>
        <w:rFonts w:hint="default" w:ascii="Symbol" w:hAnsi="Symbol"/>
      </w:rPr>
    </w:lvl>
    <w:lvl w:ilvl="1" w:tentative="0">
      <w:start w:val="1"/>
      <w:numFmt w:val="bullet"/>
      <w:lvlText w:val="o"/>
      <w:lvlJc w:val="left"/>
      <w:pPr>
        <w:ind w:left="5160" w:hanging="360"/>
      </w:pPr>
      <w:rPr>
        <w:rFonts w:hint="default" w:ascii="Courier New" w:hAnsi="Courier New" w:cs="Courier New"/>
      </w:rPr>
    </w:lvl>
    <w:lvl w:ilvl="2" w:tentative="0">
      <w:start w:val="1"/>
      <w:numFmt w:val="bullet"/>
      <w:lvlText w:val=""/>
      <w:lvlJc w:val="left"/>
      <w:pPr>
        <w:ind w:left="5880" w:hanging="360"/>
      </w:pPr>
      <w:rPr>
        <w:rFonts w:hint="default" w:ascii="Wingdings" w:hAnsi="Wingdings"/>
      </w:rPr>
    </w:lvl>
    <w:lvl w:ilvl="3" w:tentative="0">
      <w:start w:val="1"/>
      <w:numFmt w:val="bullet"/>
      <w:lvlText w:val=""/>
      <w:lvlJc w:val="left"/>
      <w:pPr>
        <w:ind w:left="6600" w:hanging="360"/>
      </w:pPr>
      <w:rPr>
        <w:rFonts w:hint="default" w:ascii="Symbol" w:hAnsi="Symbol"/>
      </w:rPr>
    </w:lvl>
    <w:lvl w:ilvl="4" w:tentative="0">
      <w:start w:val="1"/>
      <w:numFmt w:val="bullet"/>
      <w:lvlText w:val="o"/>
      <w:lvlJc w:val="left"/>
      <w:pPr>
        <w:ind w:left="7320" w:hanging="360"/>
      </w:pPr>
      <w:rPr>
        <w:rFonts w:hint="default" w:ascii="Courier New" w:hAnsi="Courier New" w:cs="Courier New"/>
      </w:rPr>
    </w:lvl>
    <w:lvl w:ilvl="5" w:tentative="0">
      <w:start w:val="1"/>
      <w:numFmt w:val="bullet"/>
      <w:lvlText w:val=""/>
      <w:lvlJc w:val="left"/>
      <w:pPr>
        <w:ind w:left="8040" w:hanging="360"/>
      </w:pPr>
      <w:rPr>
        <w:rFonts w:hint="default" w:ascii="Wingdings" w:hAnsi="Wingdings"/>
      </w:rPr>
    </w:lvl>
    <w:lvl w:ilvl="6" w:tentative="0">
      <w:start w:val="1"/>
      <w:numFmt w:val="bullet"/>
      <w:lvlText w:val=""/>
      <w:lvlJc w:val="left"/>
      <w:pPr>
        <w:ind w:left="8760" w:hanging="360"/>
      </w:pPr>
      <w:rPr>
        <w:rFonts w:hint="default" w:ascii="Symbol" w:hAnsi="Symbol"/>
      </w:rPr>
    </w:lvl>
    <w:lvl w:ilvl="7" w:tentative="0">
      <w:start w:val="1"/>
      <w:numFmt w:val="bullet"/>
      <w:lvlText w:val="o"/>
      <w:lvlJc w:val="left"/>
      <w:pPr>
        <w:ind w:left="9480" w:hanging="360"/>
      </w:pPr>
      <w:rPr>
        <w:rFonts w:hint="default" w:ascii="Courier New" w:hAnsi="Courier New" w:cs="Courier New"/>
      </w:rPr>
    </w:lvl>
    <w:lvl w:ilvl="8" w:tentative="0">
      <w:start w:val="1"/>
      <w:numFmt w:val="bullet"/>
      <w:lvlText w:val=""/>
      <w:lvlJc w:val="left"/>
      <w:pPr>
        <w:ind w:left="10200" w:hanging="360"/>
      </w:pPr>
      <w:rPr>
        <w:rFonts w:hint="default" w:ascii="Wingdings" w:hAnsi="Wingdings"/>
      </w:rPr>
    </w:lvl>
  </w:abstractNum>
  <w:abstractNum w:abstractNumId="21">
    <w:nsid w:val="589507FB"/>
    <w:multiLevelType w:val="multilevel"/>
    <w:tmpl w:val="589507FB"/>
    <w:lvl w:ilvl="0" w:tentative="0">
      <w:start w:val="1"/>
      <w:numFmt w:val="bullet"/>
      <w:lvlText w:val=""/>
      <w:lvlJc w:val="left"/>
      <w:pPr>
        <w:ind w:left="4440" w:hanging="360"/>
      </w:pPr>
      <w:rPr>
        <w:rFonts w:hint="default" w:ascii="Symbol" w:hAnsi="Symbol"/>
      </w:rPr>
    </w:lvl>
    <w:lvl w:ilvl="1" w:tentative="0">
      <w:start w:val="1"/>
      <w:numFmt w:val="bullet"/>
      <w:lvlText w:val="o"/>
      <w:lvlJc w:val="left"/>
      <w:pPr>
        <w:ind w:left="5160" w:hanging="360"/>
      </w:pPr>
      <w:rPr>
        <w:rFonts w:hint="default" w:ascii="Courier New" w:hAnsi="Courier New" w:cs="Courier New"/>
      </w:rPr>
    </w:lvl>
    <w:lvl w:ilvl="2" w:tentative="0">
      <w:start w:val="1"/>
      <w:numFmt w:val="bullet"/>
      <w:lvlText w:val=""/>
      <w:lvlJc w:val="left"/>
      <w:pPr>
        <w:ind w:left="5880" w:hanging="360"/>
      </w:pPr>
      <w:rPr>
        <w:rFonts w:hint="default" w:ascii="Wingdings" w:hAnsi="Wingdings"/>
      </w:rPr>
    </w:lvl>
    <w:lvl w:ilvl="3" w:tentative="0">
      <w:start w:val="1"/>
      <w:numFmt w:val="bullet"/>
      <w:lvlText w:val=""/>
      <w:lvlJc w:val="left"/>
      <w:pPr>
        <w:ind w:left="6600" w:hanging="360"/>
      </w:pPr>
      <w:rPr>
        <w:rFonts w:hint="default" w:ascii="Symbol" w:hAnsi="Symbol"/>
      </w:rPr>
    </w:lvl>
    <w:lvl w:ilvl="4" w:tentative="0">
      <w:start w:val="1"/>
      <w:numFmt w:val="bullet"/>
      <w:lvlText w:val="o"/>
      <w:lvlJc w:val="left"/>
      <w:pPr>
        <w:ind w:left="7320" w:hanging="360"/>
      </w:pPr>
      <w:rPr>
        <w:rFonts w:hint="default" w:ascii="Courier New" w:hAnsi="Courier New" w:cs="Courier New"/>
      </w:rPr>
    </w:lvl>
    <w:lvl w:ilvl="5" w:tentative="0">
      <w:start w:val="1"/>
      <w:numFmt w:val="bullet"/>
      <w:lvlText w:val=""/>
      <w:lvlJc w:val="left"/>
      <w:pPr>
        <w:ind w:left="8040" w:hanging="360"/>
      </w:pPr>
      <w:rPr>
        <w:rFonts w:hint="default" w:ascii="Wingdings" w:hAnsi="Wingdings"/>
      </w:rPr>
    </w:lvl>
    <w:lvl w:ilvl="6" w:tentative="0">
      <w:start w:val="1"/>
      <w:numFmt w:val="bullet"/>
      <w:lvlText w:val=""/>
      <w:lvlJc w:val="left"/>
      <w:pPr>
        <w:ind w:left="8760" w:hanging="360"/>
      </w:pPr>
      <w:rPr>
        <w:rFonts w:hint="default" w:ascii="Symbol" w:hAnsi="Symbol"/>
      </w:rPr>
    </w:lvl>
    <w:lvl w:ilvl="7" w:tentative="0">
      <w:start w:val="1"/>
      <w:numFmt w:val="bullet"/>
      <w:lvlText w:val="o"/>
      <w:lvlJc w:val="left"/>
      <w:pPr>
        <w:ind w:left="9480" w:hanging="360"/>
      </w:pPr>
      <w:rPr>
        <w:rFonts w:hint="default" w:ascii="Courier New" w:hAnsi="Courier New" w:cs="Courier New"/>
      </w:rPr>
    </w:lvl>
    <w:lvl w:ilvl="8" w:tentative="0">
      <w:start w:val="1"/>
      <w:numFmt w:val="bullet"/>
      <w:lvlText w:val=""/>
      <w:lvlJc w:val="left"/>
      <w:pPr>
        <w:ind w:left="10200" w:hanging="360"/>
      </w:pPr>
      <w:rPr>
        <w:rFonts w:hint="default" w:ascii="Wingdings" w:hAnsi="Wingdings"/>
      </w:rPr>
    </w:lvl>
  </w:abstractNum>
  <w:abstractNum w:abstractNumId="22">
    <w:nsid w:val="606C4DB5"/>
    <w:multiLevelType w:val="multilevel"/>
    <w:tmpl w:val="606C4DB5"/>
    <w:lvl w:ilvl="0" w:tentative="0">
      <w:start w:val="1"/>
      <w:numFmt w:val="lowerLetter"/>
      <w:pStyle w:val="124"/>
      <w:lvlText w:val="(%1)"/>
      <w:lvlJc w:val="left"/>
      <w:pPr>
        <w:tabs>
          <w:tab w:val="left" w:pos="567"/>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6C9C7192"/>
    <w:multiLevelType w:val="multilevel"/>
    <w:tmpl w:val="6C9C71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1F10CB5"/>
    <w:multiLevelType w:val="multilevel"/>
    <w:tmpl w:val="71F10C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9CF57B8"/>
    <w:multiLevelType w:val="multilevel"/>
    <w:tmpl w:val="79CF57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C050CC8"/>
    <w:multiLevelType w:val="multilevel"/>
    <w:tmpl w:val="7C050C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2"/>
  </w:num>
  <w:num w:numId="11">
    <w:abstractNumId w:val="15"/>
  </w:num>
  <w:num w:numId="12">
    <w:abstractNumId w:val="25"/>
  </w:num>
  <w:num w:numId="13">
    <w:abstractNumId w:val="19"/>
  </w:num>
  <w:num w:numId="14">
    <w:abstractNumId w:val="21"/>
  </w:num>
  <w:num w:numId="15">
    <w:abstractNumId w:val="20"/>
  </w:num>
  <w:num w:numId="16">
    <w:abstractNumId w:val="12"/>
  </w:num>
  <w:num w:numId="17">
    <w:abstractNumId w:val="24"/>
  </w:num>
  <w:num w:numId="18">
    <w:abstractNumId w:val="26"/>
  </w:num>
  <w:num w:numId="19">
    <w:abstractNumId w:val="9"/>
  </w:num>
  <w:num w:numId="20">
    <w:abstractNumId w:val="10"/>
  </w:num>
  <w:num w:numId="21">
    <w:abstractNumId w:val="18"/>
  </w:num>
  <w:num w:numId="22">
    <w:abstractNumId w:val="14"/>
  </w:num>
  <w:num w:numId="23">
    <w:abstractNumId w:val="13"/>
  </w:num>
  <w:num w:numId="24">
    <w:abstractNumId w:val="11"/>
  </w:num>
  <w:num w:numId="25">
    <w:abstractNumId w:val="16"/>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C5"/>
    <w:rsid w:val="00001144"/>
    <w:rsid w:val="000030E9"/>
    <w:rsid w:val="00003B6D"/>
    <w:rsid w:val="000112E4"/>
    <w:rsid w:val="0001430C"/>
    <w:rsid w:val="000151AA"/>
    <w:rsid w:val="0002038E"/>
    <w:rsid w:val="00022B63"/>
    <w:rsid w:val="000231E3"/>
    <w:rsid w:val="00023684"/>
    <w:rsid w:val="0002374A"/>
    <w:rsid w:val="0002541B"/>
    <w:rsid w:val="0002622B"/>
    <w:rsid w:val="00027B49"/>
    <w:rsid w:val="00030ACA"/>
    <w:rsid w:val="00030DA6"/>
    <w:rsid w:val="00030FCE"/>
    <w:rsid w:val="000314A7"/>
    <w:rsid w:val="00031A80"/>
    <w:rsid w:val="00032500"/>
    <w:rsid w:val="00035840"/>
    <w:rsid w:val="00037217"/>
    <w:rsid w:val="00037297"/>
    <w:rsid w:val="00040AEA"/>
    <w:rsid w:val="00042148"/>
    <w:rsid w:val="0004215D"/>
    <w:rsid w:val="0004395D"/>
    <w:rsid w:val="00044CBB"/>
    <w:rsid w:val="000454A2"/>
    <w:rsid w:val="0004552C"/>
    <w:rsid w:val="000515FD"/>
    <w:rsid w:val="00053303"/>
    <w:rsid w:val="00055B62"/>
    <w:rsid w:val="000574A0"/>
    <w:rsid w:val="00060982"/>
    <w:rsid w:val="0006118F"/>
    <w:rsid w:val="00062D0E"/>
    <w:rsid w:val="00063B84"/>
    <w:rsid w:val="00064281"/>
    <w:rsid w:val="0006594E"/>
    <w:rsid w:val="00070CE6"/>
    <w:rsid w:val="0007122B"/>
    <w:rsid w:val="00071839"/>
    <w:rsid w:val="0007642D"/>
    <w:rsid w:val="0007652E"/>
    <w:rsid w:val="00082330"/>
    <w:rsid w:val="00082CF1"/>
    <w:rsid w:val="00082E20"/>
    <w:rsid w:val="00086B49"/>
    <w:rsid w:val="00086EAF"/>
    <w:rsid w:val="00087EB3"/>
    <w:rsid w:val="000908BF"/>
    <w:rsid w:val="00093BEB"/>
    <w:rsid w:val="000944A6"/>
    <w:rsid w:val="00094CC5"/>
    <w:rsid w:val="00095BAC"/>
    <w:rsid w:val="000966B5"/>
    <w:rsid w:val="000A2CDB"/>
    <w:rsid w:val="000A5160"/>
    <w:rsid w:val="000A65B8"/>
    <w:rsid w:val="000A6987"/>
    <w:rsid w:val="000A6C4D"/>
    <w:rsid w:val="000B0A5A"/>
    <w:rsid w:val="000B1DD4"/>
    <w:rsid w:val="000B288F"/>
    <w:rsid w:val="000B316D"/>
    <w:rsid w:val="000B3F96"/>
    <w:rsid w:val="000B4085"/>
    <w:rsid w:val="000B6CFF"/>
    <w:rsid w:val="000C365D"/>
    <w:rsid w:val="000C4029"/>
    <w:rsid w:val="000C4748"/>
    <w:rsid w:val="000C48E8"/>
    <w:rsid w:val="000C5590"/>
    <w:rsid w:val="000C697C"/>
    <w:rsid w:val="000C6FD6"/>
    <w:rsid w:val="000C724A"/>
    <w:rsid w:val="000C7C46"/>
    <w:rsid w:val="000D15CE"/>
    <w:rsid w:val="000D2CA0"/>
    <w:rsid w:val="000D5FB6"/>
    <w:rsid w:val="000D65EE"/>
    <w:rsid w:val="000E266C"/>
    <w:rsid w:val="000E35E3"/>
    <w:rsid w:val="000E420B"/>
    <w:rsid w:val="000E4C39"/>
    <w:rsid w:val="000F3A03"/>
    <w:rsid w:val="000F3E75"/>
    <w:rsid w:val="000F4028"/>
    <w:rsid w:val="000F41A0"/>
    <w:rsid w:val="000F473C"/>
    <w:rsid w:val="000F477D"/>
    <w:rsid w:val="000F6812"/>
    <w:rsid w:val="000F6BC1"/>
    <w:rsid w:val="001039BB"/>
    <w:rsid w:val="00103BA3"/>
    <w:rsid w:val="001059F2"/>
    <w:rsid w:val="001108F3"/>
    <w:rsid w:val="0011114E"/>
    <w:rsid w:val="00111C57"/>
    <w:rsid w:val="00114AE0"/>
    <w:rsid w:val="001156F5"/>
    <w:rsid w:val="00117D4E"/>
    <w:rsid w:val="00117D6B"/>
    <w:rsid w:val="00120052"/>
    <w:rsid w:val="00120C57"/>
    <w:rsid w:val="0012198C"/>
    <w:rsid w:val="00121A53"/>
    <w:rsid w:val="001226E0"/>
    <w:rsid w:val="00122CA6"/>
    <w:rsid w:val="00123B1F"/>
    <w:rsid w:val="00124656"/>
    <w:rsid w:val="001302E3"/>
    <w:rsid w:val="001306C6"/>
    <w:rsid w:val="00131672"/>
    <w:rsid w:val="00132A14"/>
    <w:rsid w:val="00135016"/>
    <w:rsid w:val="0013776B"/>
    <w:rsid w:val="001378B5"/>
    <w:rsid w:val="00140386"/>
    <w:rsid w:val="00152288"/>
    <w:rsid w:val="00154367"/>
    <w:rsid w:val="00154CC9"/>
    <w:rsid w:val="0015541D"/>
    <w:rsid w:val="00156BF4"/>
    <w:rsid w:val="0015728E"/>
    <w:rsid w:val="00157A94"/>
    <w:rsid w:val="001600B0"/>
    <w:rsid w:val="001607C3"/>
    <w:rsid w:val="00161E0F"/>
    <w:rsid w:val="00161FF0"/>
    <w:rsid w:val="001642F4"/>
    <w:rsid w:val="001662C3"/>
    <w:rsid w:val="001666BC"/>
    <w:rsid w:val="00167E83"/>
    <w:rsid w:val="00170E35"/>
    <w:rsid w:val="00172A2C"/>
    <w:rsid w:val="00175228"/>
    <w:rsid w:val="00176A3C"/>
    <w:rsid w:val="00180780"/>
    <w:rsid w:val="001825F8"/>
    <w:rsid w:val="00184F53"/>
    <w:rsid w:val="00190F13"/>
    <w:rsid w:val="00191AE5"/>
    <w:rsid w:val="001944C5"/>
    <w:rsid w:val="00194EAC"/>
    <w:rsid w:val="00196612"/>
    <w:rsid w:val="00196C8F"/>
    <w:rsid w:val="001A02B7"/>
    <w:rsid w:val="001A099E"/>
    <w:rsid w:val="001A0C6B"/>
    <w:rsid w:val="001A27D4"/>
    <w:rsid w:val="001A448E"/>
    <w:rsid w:val="001A567D"/>
    <w:rsid w:val="001A5EB2"/>
    <w:rsid w:val="001A6D93"/>
    <w:rsid w:val="001B1232"/>
    <w:rsid w:val="001B201D"/>
    <w:rsid w:val="001B40FC"/>
    <w:rsid w:val="001B4D6B"/>
    <w:rsid w:val="001B6411"/>
    <w:rsid w:val="001B74A1"/>
    <w:rsid w:val="001B755C"/>
    <w:rsid w:val="001C0AF2"/>
    <w:rsid w:val="001C1657"/>
    <w:rsid w:val="001C493C"/>
    <w:rsid w:val="001C56B1"/>
    <w:rsid w:val="001C5969"/>
    <w:rsid w:val="001C5BF2"/>
    <w:rsid w:val="001C664A"/>
    <w:rsid w:val="001C7315"/>
    <w:rsid w:val="001D3FBC"/>
    <w:rsid w:val="001D550B"/>
    <w:rsid w:val="001D7D3D"/>
    <w:rsid w:val="001E12F8"/>
    <w:rsid w:val="001E2C44"/>
    <w:rsid w:val="001E549D"/>
    <w:rsid w:val="001F148C"/>
    <w:rsid w:val="001F379F"/>
    <w:rsid w:val="001F7D0C"/>
    <w:rsid w:val="00200B19"/>
    <w:rsid w:val="00205129"/>
    <w:rsid w:val="00211471"/>
    <w:rsid w:val="00213E00"/>
    <w:rsid w:val="00214303"/>
    <w:rsid w:val="0021532E"/>
    <w:rsid w:val="0021580E"/>
    <w:rsid w:val="00217BF9"/>
    <w:rsid w:val="002202CA"/>
    <w:rsid w:val="00220B37"/>
    <w:rsid w:val="002254E9"/>
    <w:rsid w:val="002306A0"/>
    <w:rsid w:val="00230916"/>
    <w:rsid w:val="00230EE3"/>
    <w:rsid w:val="00231207"/>
    <w:rsid w:val="0023170F"/>
    <w:rsid w:val="00232CAC"/>
    <w:rsid w:val="00237F3A"/>
    <w:rsid w:val="00240802"/>
    <w:rsid w:val="00241415"/>
    <w:rsid w:val="00241A21"/>
    <w:rsid w:val="0024440F"/>
    <w:rsid w:val="00244677"/>
    <w:rsid w:val="00247901"/>
    <w:rsid w:val="00247A45"/>
    <w:rsid w:val="00247E66"/>
    <w:rsid w:val="002518AC"/>
    <w:rsid w:val="002528A9"/>
    <w:rsid w:val="002530DB"/>
    <w:rsid w:val="002532ED"/>
    <w:rsid w:val="00254CD2"/>
    <w:rsid w:val="00255A8B"/>
    <w:rsid w:val="00256565"/>
    <w:rsid w:val="00256759"/>
    <w:rsid w:val="00257354"/>
    <w:rsid w:val="00260E15"/>
    <w:rsid w:val="00262C03"/>
    <w:rsid w:val="00262C98"/>
    <w:rsid w:val="00263101"/>
    <w:rsid w:val="00263256"/>
    <w:rsid w:val="00266D30"/>
    <w:rsid w:val="002672F7"/>
    <w:rsid w:val="00270D18"/>
    <w:rsid w:val="0027268B"/>
    <w:rsid w:val="00272A07"/>
    <w:rsid w:val="0028080F"/>
    <w:rsid w:val="002812E9"/>
    <w:rsid w:val="00284E3F"/>
    <w:rsid w:val="00286535"/>
    <w:rsid w:val="00292E59"/>
    <w:rsid w:val="00293717"/>
    <w:rsid w:val="0029546B"/>
    <w:rsid w:val="00295AE5"/>
    <w:rsid w:val="00295B9D"/>
    <w:rsid w:val="00295D87"/>
    <w:rsid w:val="002A2783"/>
    <w:rsid w:val="002A3167"/>
    <w:rsid w:val="002A3194"/>
    <w:rsid w:val="002A3C5F"/>
    <w:rsid w:val="002B140F"/>
    <w:rsid w:val="002B2C9F"/>
    <w:rsid w:val="002B3C85"/>
    <w:rsid w:val="002B5DCB"/>
    <w:rsid w:val="002B6061"/>
    <w:rsid w:val="002B77D2"/>
    <w:rsid w:val="002B78BC"/>
    <w:rsid w:val="002C033A"/>
    <w:rsid w:val="002C0BA5"/>
    <w:rsid w:val="002C1CC5"/>
    <w:rsid w:val="002C2F00"/>
    <w:rsid w:val="002C43A1"/>
    <w:rsid w:val="002C4ABC"/>
    <w:rsid w:val="002C5F4D"/>
    <w:rsid w:val="002C6EC4"/>
    <w:rsid w:val="002C7A0C"/>
    <w:rsid w:val="002D0391"/>
    <w:rsid w:val="002D0C6F"/>
    <w:rsid w:val="002D0EBD"/>
    <w:rsid w:val="002D23D4"/>
    <w:rsid w:val="002D44A2"/>
    <w:rsid w:val="002D479A"/>
    <w:rsid w:val="002D4CF3"/>
    <w:rsid w:val="002D5280"/>
    <w:rsid w:val="002D60D2"/>
    <w:rsid w:val="002D6714"/>
    <w:rsid w:val="002E513B"/>
    <w:rsid w:val="002E52A2"/>
    <w:rsid w:val="002E7A61"/>
    <w:rsid w:val="002F3951"/>
    <w:rsid w:val="002F3D53"/>
    <w:rsid w:val="002F547F"/>
    <w:rsid w:val="00300073"/>
    <w:rsid w:val="00300F1C"/>
    <w:rsid w:val="003026A2"/>
    <w:rsid w:val="00302B80"/>
    <w:rsid w:val="0030665B"/>
    <w:rsid w:val="00307464"/>
    <w:rsid w:val="003120FF"/>
    <w:rsid w:val="003122A1"/>
    <w:rsid w:val="003128E8"/>
    <w:rsid w:val="0031764D"/>
    <w:rsid w:val="003208B0"/>
    <w:rsid w:val="0032152F"/>
    <w:rsid w:val="00321855"/>
    <w:rsid w:val="003234F7"/>
    <w:rsid w:val="00325921"/>
    <w:rsid w:val="00325A7F"/>
    <w:rsid w:val="00331C49"/>
    <w:rsid w:val="00340D8A"/>
    <w:rsid w:val="00341A9B"/>
    <w:rsid w:val="00342249"/>
    <w:rsid w:val="00343728"/>
    <w:rsid w:val="00347D8F"/>
    <w:rsid w:val="00351314"/>
    <w:rsid w:val="0035179E"/>
    <w:rsid w:val="0035583F"/>
    <w:rsid w:val="003569C0"/>
    <w:rsid w:val="00357042"/>
    <w:rsid w:val="0035715A"/>
    <w:rsid w:val="00357ACF"/>
    <w:rsid w:val="003643AD"/>
    <w:rsid w:val="003643B1"/>
    <w:rsid w:val="0036740E"/>
    <w:rsid w:val="00375D63"/>
    <w:rsid w:val="0037624B"/>
    <w:rsid w:val="003810E5"/>
    <w:rsid w:val="003823A7"/>
    <w:rsid w:val="003862A8"/>
    <w:rsid w:val="00386A47"/>
    <w:rsid w:val="003906DA"/>
    <w:rsid w:val="0039491B"/>
    <w:rsid w:val="00395F32"/>
    <w:rsid w:val="003A0F7C"/>
    <w:rsid w:val="003A32E7"/>
    <w:rsid w:val="003A450F"/>
    <w:rsid w:val="003A50EF"/>
    <w:rsid w:val="003A559B"/>
    <w:rsid w:val="003A5A9B"/>
    <w:rsid w:val="003B20BE"/>
    <w:rsid w:val="003B3BE0"/>
    <w:rsid w:val="003B3C24"/>
    <w:rsid w:val="003B42A7"/>
    <w:rsid w:val="003B5B8B"/>
    <w:rsid w:val="003C08BA"/>
    <w:rsid w:val="003C28EA"/>
    <w:rsid w:val="003C5183"/>
    <w:rsid w:val="003C5206"/>
    <w:rsid w:val="003C74E1"/>
    <w:rsid w:val="003C7BBC"/>
    <w:rsid w:val="003D0433"/>
    <w:rsid w:val="003D0716"/>
    <w:rsid w:val="003D24BA"/>
    <w:rsid w:val="003D2B49"/>
    <w:rsid w:val="003D65E0"/>
    <w:rsid w:val="003D6D5D"/>
    <w:rsid w:val="003D6FB5"/>
    <w:rsid w:val="003E094E"/>
    <w:rsid w:val="003E37FF"/>
    <w:rsid w:val="003E3E1F"/>
    <w:rsid w:val="003E6D8A"/>
    <w:rsid w:val="003F023B"/>
    <w:rsid w:val="003F2AE9"/>
    <w:rsid w:val="003F2C4D"/>
    <w:rsid w:val="003F44A2"/>
    <w:rsid w:val="003F67F4"/>
    <w:rsid w:val="003F6958"/>
    <w:rsid w:val="00401B6D"/>
    <w:rsid w:val="00402469"/>
    <w:rsid w:val="0040298E"/>
    <w:rsid w:val="00403013"/>
    <w:rsid w:val="00403466"/>
    <w:rsid w:val="00406EA9"/>
    <w:rsid w:val="00410CC0"/>
    <w:rsid w:val="00412466"/>
    <w:rsid w:val="00413A3E"/>
    <w:rsid w:val="00413B11"/>
    <w:rsid w:val="00414D8F"/>
    <w:rsid w:val="0041577A"/>
    <w:rsid w:val="004202F3"/>
    <w:rsid w:val="0042253C"/>
    <w:rsid w:val="00423CBA"/>
    <w:rsid w:val="00426082"/>
    <w:rsid w:val="004272B7"/>
    <w:rsid w:val="00427F00"/>
    <w:rsid w:val="004318A6"/>
    <w:rsid w:val="004320E7"/>
    <w:rsid w:val="00432A73"/>
    <w:rsid w:val="004338D5"/>
    <w:rsid w:val="0043677D"/>
    <w:rsid w:val="00437892"/>
    <w:rsid w:val="00444A82"/>
    <w:rsid w:val="00444EA4"/>
    <w:rsid w:val="00451255"/>
    <w:rsid w:val="0045202E"/>
    <w:rsid w:val="0045282E"/>
    <w:rsid w:val="00454DC4"/>
    <w:rsid w:val="00456A4B"/>
    <w:rsid w:val="00457499"/>
    <w:rsid w:val="0046068B"/>
    <w:rsid w:val="004617D8"/>
    <w:rsid w:val="004654DF"/>
    <w:rsid w:val="00466251"/>
    <w:rsid w:val="00467B5E"/>
    <w:rsid w:val="00471C95"/>
    <w:rsid w:val="0047204D"/>
    <w:rsid w:val="00473428"/>
    <w:rsid w:val="004745D3"/>
    <w:rsid w:val="00475B6C"/>
    <w:rsid w:val="00475DEC"/>
    <w:rsid w:val="004760B3"/>
    <w:rsid w:val="00476651"/>
    <w:rsid w:val="00477735"/>
    <w:rsid w:val="0048265B"/>
    <w:rsid w:val="004831D8"/>
    <w:rsid w:val="004838EE"/>
    <w:rsid w:val="00484F98"/>
    <w:rsid w:val="0048621A"/>
    <w:rsid w:val="004864D2"/>
    <w:rsid w:val="00486E9E"/>
    <w:rsid w:val="00487DCE"/>
    <w:rsid w:val="004900F4"/>
    <w:rsid w:val="00490F4C"/>
    <w:rsid w:val="00491B43"/>
    <w:rsid w:val="00491D49"/>
    <w:rsid w:val="00491E2A"/>
    <w:rsid w:val="004935B8"/>
    <w:rsid w:val="00496938"/>
    <w:rsid w:val="004A1DC3"/>
    <w:rsid w:val="004A3D75"/>
    <w:rsid w:val="004A5040"/>
    <w:rsid w:val="004B0308"/>
    <w:rsid w:val="004B057C"/>
    <w:rsid w:val="004B5EF1"/>
    <w:rsid w:val="004B7E39"/>
    <w:rsid w:val="004C1954"/>
    <w:rsid w:val="004C25AD"/>
    <w:rsid w:val="004C2D59"/>
    <w:rsid w:val="004C3B54"/>
    <w:rsid w:val="004C422A"/>
    <w:rsid w:val="004C628D"/>
    <w:rsid w:val="004D1650"/>
    <w:rsid w:val="004D3AB7"/>
    <w:rsid w:val="004D3D7A"/>
    <w:rsid w:val="004D3E34"/>
    <w:rsid w:val="004D66A2"/>
    <w:rsid w:val="004D7B55"/>
    <w:rsid w:val="004E16B4"/>
    <w:rsid w:val="004E17EE"/>
    <w:rsid w:val="004E4D2F"/>
    <w:rsid w:val="004E529C"/>
    <w:rsid w:val="004E62D3"/>
    <w:rsid w:val="004E733D"/>
    <w:rsid w:val="004F117A"/>
    <w:rsid w:val="004F3775"/>
    <w:rsid w:val="004F4251"/>
    <w:rsid w:val="004F4C68"/>
    <w:rsid w:val="004F7EB4"/>
    <w:rsid w:val="00505B38"/>
    <w:rsid w:val="0051161A"/>
    <w:rsid w:val="00514E13"/>
    <w:rsid w:val="0051565A"/>
    <w:rsid w:val="005175FD"/>
    <w:rsid w:val="005200BD"/>
    <w:rsid w:val="005208F8"/>
    <w:rsid w:val="00521395"/>
    <w:rsid w:val="00521556"/>
    <w:rsid w:val="00521B41"/>
    <w:rsid w:val="00522E60"/>
    <w:rsid w:val="0052402F"/>
    <w:rsid w:val="00524792"/>
    <w:rsid w:val="00531B54"/>
    <w:rsid w:val="0053235E"/>
    <w:rsid w:val="00532E2F"/>
    <w:rsid w:val="00535CE2"/>
    <w:rsid w:val="005371EE"/>
    <w:rsid w:val="00537C86"/>
    <w:rsid w:val="00540101"/>
    <w:rsid w:val="00541480"/>
    <w:rsid w:val="00543190"/>
    <w:rsid w:val="00547088"/>
    <w:rsid w:val="005521F8"/>
    <w:rsid w:val="00554AAE"/>
    <w:rsid w:val="005607A3"/>
    <w:rsid w:val="00560BA9"/>
    <w:rsid w:val="0056218E"/>
    <w:rsid w:val="00563809"/>
    <w:rsid w:val="00564807"/>
    <w:rsid w:val="00564C8E"/>
    <w:rsid w:val="00564F48"/>
    <w:rsid w:val="00566712"/>
    <w:rsid w:val="00571A27"/>
    <w:rsid w:val="00572E5C"/>
    <w:rsid w:val="0057302A"/>
    <w:rsid w:val="00576122"/>
    <w:rsid w:val="005763FD"/>
    <w:rsid w:val="00577176"/>
    <w:rsid w:val="005773BC"/>
    <w:rsid w:val="00577F99"/>
    <w:rsid w:val="005803B3"/>
    <w:rsid w:val="005832F6"/>
    <w:rsid w:val="00584A21"/>
    <w:rsid w:val="00584C7C"/>
    <w:rsid w:val="005864A3"/>
    <w:rsid w:val="0058723D"/>
    <w:rsid w:val="00587366"/>
    <w:rsid w:val="005874D7"/>
    <w:rsid w:val="00587F52"/>
    <w:rsid w:val="00591935"/>
    <w:rsid w:val="005920D4"/>
    <w:rsid w:val="005923E2"/>
    <w:rsid w:val="005923EC"/>
    <w:rsid w:val="00592800"/>
    <w:rsid w:val="005A21FD"/>
    <w:rsid w:val="005A2F03"/>
    <w:rsid w:val="005A417C"/>
    <w:rsid w:val="005B1BD6"/>
    <w:rsid w:val="005B5B83"/>
    <w:rsid w:val="005B7620"/>
    <w:rsid w:val="005B7C3C"/>
    <w:rsid w:val="005C1B6C"/>
    <w:rsid w:val="005C2CD6"/>
    <w:rsid w:val="005C320C"/>
    <w:rsid w:val="005C5AD8"/>
    <w:rsid w:val="005D1775"/>
    <w:rsid w:val="005D3EED"/>
    <w:rsid w:val="005D435A"/>
    <w:rsid w:val="005D43A3"/>
    <w:rsid w:val="005E16DB"/>
    <w:rsid w:val="005E1CEA"/>
    <w:rsid w:val="005E21EE"/>
    <w:rsid w:val="005E221A"/>
    <w:rsid w:val="005E52CA"/>
    <w:rsid w:val="005F0255"/>
    <w:rsid w:val="005F0766"/>
    <w:rsid w:val="005F0C63"/>
    <w:rsid w:val="005F1831"/>
    <w:rsid w:val="005F31D6"/>
    <w:rsid w:val="005F33EE"/>
    <w:rsid w:val="005F7400"/>
    <w:rsid w:val="005F7770"/>
    <w:rsid w:val="005F7FDA"/>
    <w:rsid w:val="00600B6C"/>
    <w:rsid w:val="0060758F"/>
    <w:rsid w:val="00610D89"/>
    <w:rsid w:val="00611C9B"/>
    <w:rsid w:val="006121F4"/>
    <w:rsid w:val="00612DB2"/>
    <w:rsid w:val="00615479"/>
    <w:rsid w:val="0061553C"/>
    <w:rsid w:val="00616044"/>
    <w:rsid w:val="00617171"/>
    <w:rsid w:val="00617333"/>
    <w:rsid w:val="006177BD"/>
    <w:rsid w:val="0062094F"/>
    <w:rsid w:val="00621E3F"/>
    <w:rsid w:val="00622DB0"/>
    <w:rsid w:val="00624013"/>
    <w:rsid w:val="00625C18"/>
    <w:rsid w:val="006264E5"/>
    <w:rsid w:val="006267C9"/>
    <w:rsid w:val="006279F8"/>
    <w:rsid w:val="006315E4"/>
    <w:rsid w:val="00631B99"/>
    <w:rsid w:val="0063207E"/>
    <w:rsid w:val="00633C8E"/>
    <w:rsid w:val="00635852"/>
    <w:rsid w:val="00636D03"/>
    <w:rsid w:val="00637354"/>
    <w:rsid w:val="006378E3"/>
    <w:rsid w:val="006417E9"/>
    <w:rsid w:val="00641D86"/>
    <w:rsid w:val="00642593"/>
    <w:rsid w:val="0064260F"/>
    <w:rsid w:val="0064377A"/>
    <w:rsid w:val="00643CD7"/>
    <w:rsid w:val="00644999"/>
    <w:rsid w:val="00644C29"/>
    <w:rsid w:val="00644D3A"/>
    <w:rsid w:val="006467C3"/>
    <w:rsid w:val="00646A4B"/>
    <w:rsid w:val="006504A7"/>
    <w:rsid w:val="0065285C"/>
    <w:rsid w:val="0065528C"/>
    <w:rsid w:val="00655744"/>
    <w:rsid w:val="00657236"/>
    <w:rsid w:val="00660044"/>
    <w:rsid w:val="00660EFD"/>
    <w:rsid w:val="006622B6"/>
    <w:rsid w:val="006634FD"/>
    <w:rsid w:val="00663578"/>
    <w:rsid w:val="006668AB"/>
    <w:rsid w:val="006675FB"/>
    <w:rsid w:val="00670065"/>
    <w:rsid w:val="006720F5"/>
    <w:rsid w:val="006734F4"/>
    <w:rsid w:val="00673648"/>
    <w:rsid w:val="00673CB0"/>
    <w:rsid w:val="006760F7"/>
    <w:rsid w:val="0067766E"/>
    <w:rsid w:val="00680865"/>
    <w:rsid w:val="00683CD4"/>
    <w:rsid w:val="00685591"/>
    <w:rsid w:val="00686C3E"/>
    <w:rsid w:val="006978A3"/>
    <w:rsid w:val="006A04F5"/>
    <w:rsid w:val="006A05FE"/>
    <w:rsid w:val="006A183C"/>
    <w:rsid w:val="006A1AA5"/>
    <w:rsid w:val="006A1FA6"/>
    <w:rsid w:val="006A3887"/>
    <w:rsid w:val="006A60C9"/>
    <w:rsid w:val="006B03CC"/>
    <w:rsid w:val="006B0BCF"/>
    <w:rsid w:val="006B0D3F"/>
    <w:rsid w:val="006B18DF"/>
    <w:rsid w:val="006B1D78"/>
    <w:rsid w:val="006B1DB6"/>
    <w:rsid w:val="006B4E9A"/>
    <w:rsid w:val="006B653F"/>
    <w:rsid w:val="006C0365"/>
    <w:rsid w:val="006C10BF"/>
    <w:rsid w:val="006C2A1F"/>
    <w:rsid w:val="006C4F1B"/>
    <w:rsid w:val="006C50FC"/>
    <w:rsid w:val="006D0D3C"/>
    <w:rsid w:val="006D103B"/>
    <w:rsid w:val="006D3959"/>
    <w:rsid w:val="006D449D"/>
    <w:rsid w:val="006D718E"/>
    <w:rsid w:val="006D737F"/>
    <w:rsid w:val="006D7F52"/>
    <w:rsid w:val="006E10A0"/>
    <w:rsid w:val="006E36B3"/>
    <w:rsid w:val="006E3839"/>
    <w:rsid w:val="006E453D"/>
    <w:rsid w:val="006E458C"/>
    <w:rsid w:val="006F121B"/>
    <w:rsid w:val="006F306A"/>
    <w:rsid w:val="006F3306"/>
    <w:rsid w:val="006F5CC2"/>
    <w:rsid w:val="00701ADA"/>
    <w:rsid w:val="007048F2"/>
    <w:rsid w:val="00705AF3"/>
    <w:rsid w:val="00706A9D"/>
    <w:rsid w:val="00706C83"/>
    <w:rsid w:val="00706F54"/>
    <w:rsid w:val="0071062D"/>
    <w:rsid w:val="00711343"/>
    <w:rsid w:val="00711735"/>
    <w:rsid w:val="00712285"/>
    <w:rsid w:val="00712AA8"/>
    <w:rsid w:val="00712C38"/>
    <w:rsid w:val="007138D1"/>
    <w:rsid w:val="00713EA4"/>
    <w:rsid w:val="00714CB3"/>
    <w:rsid w:val="00714EE9"/>
    <w:rsid w:val="00715E65"/>
    <w:rsid w:val="007171BB"/>
    <w:rsid w:val="00717C0C"/>
    <w:rsid w:val="00720882"/>
    <w:rsid w:val="00720F6A"/>
    <w:rsid w:val="00722515"/>
    <w:rsid w:val="0072335C"/>
    <w:rsid w:val="00724CA1"/>
    <w:rsid w:val="00725540"/>
    <w:rsid w:val="00726231"/>
    <w:rsid w:val="00726342"/>
    <w:rsid w:val="00726883"/>
    <w:rsid w:val="007278F9"/>
    <w:rsid w:val="0073061A"/>
    <w:rsid w:val="0073068D"/>
    <w:rsid w:val="00732B10"/>
    <w:rsid w:val="007341FD"/>
    <w:rsid w:val="007344E9"/>
    <w:rsid w:val="0073535A"/>
    <w:rsid w:val="007355C0"/>
    <w:rsid w:val="00735FBA"/>
    <w:rsid w:val="007361FA"/>
    <w:rsid w:val="007373C1"/>
    <w:rsid w:val="0073747F"/>
    <w:rsid w:val="00740A38"/>
    <w:rsid w:val="0074255F"/>
    <w:rsid w:val="00744D20"/>
    <w:rsid w:val="007500BC"/>
    <w:rsid w:val="00751157"/>
    <w:rsid w:val="0075175A"/>
    <w:rsid w:val="00751E8D"/>
    <w:rsid w:val="0075201A"/>
    <w:rsid w:val="00755EF0"/>
    <w:rsid w:val="007566F5"/>
    <w:rsid w:val="00757107"/>
    <w:rsid w:val="007621C8"/>
    <w:rsid w:val="00762D03"/>
    <w:rsid w:val="00762ECD"/>
    <w:rsid w:val="00764048"/>
    <w:rsid w:val="00764F91"/>
    <w:rsid w:val="007659B1"/>
    <w:rsid w:val="00767CFD"/>
    <w:rsid w:val="00770BC8"/>
    <w:rsid w:val="00771872"/>
    <w:rsid w:val="0077200A"/>
    <w:rsid w:val="007726BC"/>
    <w:rsid w:val="00773163"/>
    <w:rsid w:val="00776042"/>
    <w:rsid w:val="007761D8"/>
    <w:rsid w:val="0077649D"/>
    <w:rsid w:val="007767DC"/>
    <w:rsid w:val="00780DE6"/>
    <w:rsid w:val="00785062"/>
    <w:rsid w:val="00785AEC"/>
    <w:rsid w:val="007861F8"/>
    <w:rsid w:val="0079023D"/>
    <w:rsid w:val="00790ECE"/>
    <w:rsid w:val="00793907"/>
    <w:rsid w:val="00796192"/>
    <w:rsid w:val="007A0C67"/>
    <w:rsid w:val="007A58FF"/>
    <w:rsid w:val="007A6CC3"/>
    <w:rsid w:val="007B230F"/>
    <w:rsid w:val="007B457F"/>
    <w:rsid w:val="007B5FEE"/>
    <w:rsid w:val="007B7359"/>
    <w:rsid w:val="007C03B5"/>
    <w:rsid w:val="007C1BFA"/>
    <w:rsid w:val="007C36C1"/>
    <w:rsid w:val="007C3D3A"/>
    <w:rsid w:val="007C5151"/>
    <w:rsid w:val="007C5744"/>
    <w:rsid w:val="007C7EE9"/>
    <w:rsid w:val="007D0D2A"/>
    <w:rsid w:val="007D0F46"/>
    <w:rsid w:val="007D5F15"/>
    <w:rsid w:val="007D6561"/>
    <w:rsid w:val="007D65A6"/>
    <w:rsid w:val="007D75F6"/>
    <w:rsid w:val="007D7622"/>
    <w:rsid w:val="007D7EEB"/>
    <w:rsid w:val="007E0EDB"/>
    <w:rsid w:val="007E2138"/>
    <w:rsid w:val="007E46A8"/>
    <w:rsid w:val="007E59D2"/>
    <w:rsid w:val="007E5D30"/>
    <w:rsid w:val="007E5DEF"/>
    <w:rsid w:val="007E7951"/>
    <w:rsid w:val="007F27EB"/>
    <w:rsid w:val="007F581E"/>
    <w:rsid w:val="007F58EB"/>
    <w:rsid w:val="008037CB"/>
    <w:rsid w:val="00805BDC"/>
    <w:rsid w:val="00807D61"/>
    <w:rsid w:val="008102EF"/>
    <w:rsid w:val="00811338"/>
    <w:rsid w:val="00811405"/>
    <w:rsid w:val="00811A1A"/>
    <w:rsid w:val="00811AB9"/>
    <w:rsid w:val="00811E09"/>
    <w:rsid w:val="00814EBA"/>
    <w:rsid w:val="008265A4"/>
    <w:rsid w:val="00827A36"/>
    <w:rsid w:val="00827E51"/>
    <w:rsid w:val="00827F70"/>
    <w:rsid w:val="00827FB5"/>
    <w:rsid w:val="008305B0"/>
    <w:rsid w:val="00830F21"/>
    <w:rsid w:val="008359B7"/>
    <w:rsid w:val="008363B4"/>
    <w:rsid w:val="0083665F"/>
    <w:rsid w:val="00836AFF"/>
    <w:rsid w:val="00837D31"/>
    <w:rsid w:val="008404D0"/>
    <w:rsid w:val="008434E2"/>
    <w:rsid w:val="00843EBC"/>
    <w:rsid w:val="0084703C"/>
    <w:rsid w:val="0085197C"/>
    <w:rsid w:val="00852570"/>
    <w:rsid w:val="00862DD4"/>
    <w:rsid w:val="00867137"/>
    <w:rsid w:val="00870A43"/>
    <w:rsid w:val="00871B0E"/>
    <w:rsid w:val="008817D4"/>
    <w:rsid w:val="008838FF"/>
    <w:rsid w:val="008916E0"/>
    <w:rsid w:val="0089242D"/>
    <w:rsid w:val="00892BC2"/>
    <w:rsid w:val="00893BE8"/>
    <w:rsid w:val="00894C92"/>
    <w:rsid w:val="00895148"/>
    <w:rsid w:val="00896103"/>
    <w:rsid w:val="008972BA"/>
    <w:rsid w:val="00897593"/>
    <w:rsid w:val="008A659D"/>
    <w:rsid w:val="008A68C2"/>
    <w:rsid w:val="008B2898"/>
    <w:rsid w:val="008B3172"/>
    <w:rsid w:val="008B5095"/>
    <w:rsid w:val="008B5682"/>
    <w:rsid w:val="008B5EF2"/>
    <w:rsid w:val="008B6F16"/>
    <w:rsid w:val="008B7BF6"/>
    <w:rsid w:val="008C23D3"/>
    <w:rsid w:val="008C4AC5"/>
    <w:rsid w:val="008C5151"/>
    <w:rsid w:val="008C548A"/>
    <w:rsid w:val="008C62E4"/>
    <w:rsid w:val="008D0D45"/>
    <w:rsid w:val="008D39A1"/>
    <w:rsid w:val="008D4D34"/>
    <w:rsid w:val="008D713F"/>
    <w:rsid w:val="008D76A9"/>
    <w:rsid w:val="008E0D00"/>
    <w:rsid w:val="008E2697"/>
    <w:rsid w:val="008E2EBE"/>
    <w:rsid w:val="008E3607"/>
    <w:rsid w:val="008E79A1"/>
    <w:rsid w:val="008F0A1A"/>
    <w:rsid w:val="008F5733"/>
    <w:rsid w:val="008F72D7"/>
    <w:rsid w:val="008F7A94"/>
    <w:rsid w:val="00901E58"/>
    <w:rsid w:val="0090226A"/>
    <w:rsid w:val="009032D6"/>
    <w:rsid w:val="00903BAE"/>
    <w:rsid w:val="00905383"/>
    <w:rsid w:val="00907EF1"/>
    <w:rsid w:val="00910F9B"/>
    <w:rsid w:val="0091151C"/>
    <w:rsid w:val="00911623"/>
    <w:rsid w:val="00911937"/>
    <w:rsid w:val="00915E9A"/>
    <w:rsid w:val="00916C1F"/>
    <w:rsid w:val="0092028C"/>
    <w:rsid w:val="009221EB"/>
    <w:rsid w:val="0092361C"/>
    <w:rsid w:val="00924265"/>
    <w:rsid w:val="00925B83"/>
    <w:rsid w:val="00925C2D"/>
    <w:rsid w:val="0092627C"/>
    <w:rsid w:val="009265A6"/>
    <w:rsid w:val="00926855"/>
    <w:rsid w:val="009269E7"/>
    <w:rsid w:val="00926A09"/>
    <w:rsid w:val="00930CC4"/>
    <w:rsid w:val="00931302"/>
    <w:rsid w:val="00932D6F"/>
    <w:rsid w:val="00933336"/>
    <w:rsid w:val="00933A10"/>
    <w:rsid w:val="009341BE"/>
    <w:rsid w:val="00934889"/>
    <w:rsid w:val="00935CA2"/>
    <w:rsid w:val="009368B4"/>
    <w:rsid w:val="00940808"/>
    <w:rsid w:val="009443E5"/>
    <w:rsid w:val="009451FA"/>
    <w:rsid w:val="00945758"/>
    <w:rsid w:val="00946049"/>
    <w:rsid w:val="00950620"/>
    <w:rsid w:val="00952E64"/>
    <w:rsid w:val="00953608"/>
    <w:rsid w:val="009538FA"/>
    <w:rsid w:val="0095471E"/>
    <w:rsid w:val="009569AF"/>
    <w:rsid w:val="00956E24"/>
    <w:rsid w:val="0095789F"/>
    <w:rsid w:val="00960CA0"/>
    <w:rsid w:val="00960FE9"/>
    <w:rsid w:val="0096120F"/>
    <w:rsid w:val="00962750"/>
    <w:rsid w:val="00962941"/>
    <w:rsid w:val="00964E6D"/>
    <w:rsid w:val="00965530"/>
    <w:rsid w:val="00970170"/>
    <w:rsid w:val="0097176B"/>
    <w:rsid w:val="00973552"/>
    <w:rsid w:val="00974A26"/>
    <w:rsid w:val="00975385"/>
    <w:rsid w:val="0097767B"/>
    <w:rsid w:val="009800A6"/>
    <w:rsid w:val="0098098C"/>
    <w:rsid w:val="0098172A"/>
    <w:rsid w:val="0098317B"/>
    <w:rsid w:val="00983854"/>
    <w:rsid w:val="00983CC2"/>
    <w:rsid w:val="00983EB4"/>
    <w:rsid w:val="009843DE"/>
    <w:rsid w:val="009918A3"/>
    <w:rsid w:val="00994991"/>
    <w:rsid w:val="009955C2"/>
    <w:rsid w:val="009958D6"/>
    <w:rsid w:val="0099726A"/>
    <w:rsid w:val="009A0C6D"/>
    <w:rsid w:val="009A31E4"/>
    <w:rsid w:val="009A3244"/>
    <w:rsid w:val="009A3586"/>
    <w:rsid w:val="009A3760"/>
    <w:rsid w:val="009A4897"/>
    <w:rsid w:val="009B0AA6"/>
    <w:rsid w:val="009B2D70"/>
    <w:rsid w:val="009B50B9"/>
    <w:rsid w:val="009B59EA"/>
    <w:rsid w:val="009B674F"/>
    <w:rsid w:val="009B6DFA"/>
    <w:rsid w:val="009C3C9A"/>
    <w:rsid w:val="009C42C0"/>
    <w:rsid w:val="009C521F"/>
    <w:rsid w:val="009D02ED"/>
    <w:rsid w:val="009D18C6"/>
    <w:rsid w:val="009D267C"/>
    <w:rsid w:val="009D3DE3"/>
    <w:rsid w:val="009D56E6"/>
    <w:rsid w:val="009D6DD0"/>
    <w:rsid w:val="009E0573"/>
    <w:rsid w:val="009E2A5A"/>
    <w:rsid w:val="009E34BE"/>
    <w:rsid w:val="009E3CA4"/>
    <w:rsid w:val="009E742F"/>
    <w:rsid w:val="009F0D87"/>
    <w:rsid w:val="009F1663"/>
    <w:rsid w:val="009F1AFB"/>
    <w:rsid w:val="009F1B69"/>
    <w:rsid w:val="009F30C0"/>
    <w:rsid w:val="009F449B"/>
    <w:rsid w:val="009F510D"/>
    <w:rsid w:val="009F5D10"/>
    <w:rsid w:val="009F676C"/>
    <w:rsid w:val="009F7A5D"/>
    <w:rsid w:val="00A000C0"/>
    <w:rsid w:val="00A00B51"/>
    <w:rsid w:val="00A01A7B"/>
    <w:rsid w:val="00A03135"/>
    <w:rsid w:val="00A032A6"/>
    <w:rsid w:val="00A03C9E"/>
    <w:rsid w:val="00A04129"/>
    <w:rsid w:val="00A07A77"/>
    <w:rsid w:val="00A07DBB"/>
    <w:rsid w:val="00A10952"/>
    <w:rsid w:val="00A10D64"/>
    <w:rsid w:val="00A17AF1"/>
    <w:rsid w:val="00A21A3C"/>
    <w:rsid w:val="00A221EF"/>
    <w:rsid w:val="00A24BA4"/>
    <w:rsid w:val="00A24DF6"/>
    <w:rsid w:val="00A24E1F"/>
    <w:rsid w:val="00A251B7"/>
    <w:rsid w:val="00A33928"/>
    <w:rsid w:val="00A33CC0"/>
    <w:rsid w:val="00A4047C"/>
    <w:rsid w:val="00A41926"/>
    <w:rsid w:val="00A44474"/>
    <w:rsid w:val="00A446AE"/>
    <w:rsid w:val="00A44B46"/>
    <w:rsid w:val="00A44DA8"/>
    <w:rsid w:val="00A4624E"/>
    <w:rsid w:val="00A46470"/>
    <w:rsid w:val="00A470A1"/>
    <w:rsid w:val="00A518DA"/>
    <w:rsid w:val="00A51FFE"/>
    <w:rsid w:val="00A52B8A"/>
    <w:rsid w:val="00A530A0"/>
    <w:rsid w:val="00A55921"/>
    <w:rsid w:val="00A5660C"/>
    <w:rsid w:val="00A56A85"/>
    <w:rsid w:val="00A56F60"/>
    <w:rsid w:val="00A61C74"/>
    <w:rsid w:val="00A6538B"/>
    <w:rsid w:val="00A66688"/>
    <w:rsid w:val="00A71E45"/>
    <w:rsid w:val="00A7350C"/>
    <w:rsid w:val="00A73D31"/>
    <w:rsid w:val="00A7416B"/>
    <w:rsid w:val="00A77328"/>
    <w:rsid w:val="00A81C55"/>
    <w:rsid w:val="00A81FB1"/>
    <w:rsid w:val="00A8263E"/>
    <w:rsid w:val="00A82B17"/>
    <w:rsid w:val="00A84285"/>
    <w:rsid w:val="00A85463"/>
    <w:rsid w:val="00A855A5"/>
    <w:rsid w:val="00A85D1C"/>
    <w:rsid w:val="00A915A9"/>
    <w:rsid w:val="00A965CB"/>
    <w:rsid w:val="00A9737E"/>
    <w:rsid w:val="00AA4100"/>
    <w:rsid w:val="00AA5192"/>
    <w:rsid w:val="00AA778C"/>
    <w:rsid w:val="00AB148C"/>
    <w:rsid w:val="00AB18FC"/>
    <w:rsid w:val="00AB48F9"/>
    <w:rsid w:val="00AB5062"/>
    <w:rsid w:val="00AB626D"/>
    <w:rsid w:val="00AB63AC"/>
    <w:rsid w:val="00AB6B32"/>
    <w:rsid w:val="00AC10DF"/>
    <w:rsid w:val="00AC1A22"/>
    <w:rsid w:val="00AC3B6F"/>
    <w:rsid w:val="00AC43AF"/>
    <w:rsid w:val="00AC6161"/>
    <w:rsid w:val="00AD0E8A"/>
    <w:rsid w:val="00AD3AFF"/>
    <w:rsid w:val="00AD5EAF"/>
    <w:rsid w:val="00AE0715"/>
    <w:rsid w:val="00AE40D9"/>
    <w:rsid w:val="00AE68C9"/>
    <w:rsid w:val="00AF0CB9"/>
    <w:rsid w:val="00AF0F8A"/>
    <w:rsid w:val="00AF36ED"/>
    <w:rsid w:val="00AF3ABC"/>
    <w:rsid w:val="00AF41C3"/>
    <w:rsid w:val="00B00116"/>
    <w:rsid w:val="00B0070B"/>
    <w:rsid w:val="00B03CCA"/>
    <w:rsid w:val="00B04B26"/>
    <w:rsid w:val="00B05961"/>
    <w:rsid w:val="00B05EF3"/>
    <w:rsid w:val="00B060E6"/>
    <w:rsid w:val="00B12C02"/>
    <w:rsid w:val="00B139AE"/>
    <w:rsid w:val="00B16275"/>
    <w:rsid w:val="00B16BC2"/>
    <w:rsid w:val="00B17874"/>
    <w:rsid w:val="00B21572"/>
    <w:rsid w:val="00B22515"/>
    <w:rsid w:val="00B23063"/>
    <w:rsid w:val="00B23657"/>
    <w:rsid w:val="00B245DD"/>
    <w:rsid w:val="00B25287"/>
    <w:rsid w:val="00B25574"/>
    <w:rsid w:val="00B263F3"/>
    <w:rsid w:val="00B26461"/>
    <w:rsid w:val="00B26792"/>
    <w:rsid w:val="00B26E30"/>
    <w:rsid w:val="00B2748F"/>
    <w:rsid w:val="00B31711"/>
    <w:rsid w:val="00B34FF2"/>
    <w:rsid w:val="00B36A84"/>
    <w:rsid w:val="00B370E2"/>
    <w:rsid w:val="00B417D9"/>
    <w:rsid w:val="00B41AAD"/>
    <w:rsid w:val="00B43800"/>
    <w:rsid w:val="00B44F2A"/>
    <w:rsid w:val="00B454C6"/>
    <w:rsid w:val="00B47D75"/>
    <w:rsid w:val="00B47FB4"/>
    <w:rsid w:val="00B53B2C"/>
    <w:rsid w:val="00B54D40"/>
    <w:rsid w:val="00B54F75"/>
    <w:rsid w:val="00B55E2A"/>
    <w:rsid w:val="00B56F70"/>
    <w:rsid w:val="00B600A9"/>
    <w:rsid w:val="00B6084B"/>
    <w:rsid w:val="00B616A9"/>
    <w:rsid w:val="00B628DD"/>
    <w:rsid w:val="00B63884"/>
    <w:rsid w:val="00B665D7"/>
    <w:rsid w:val="00B67565"/>
    <w:rsid w:val="00B7246F"/>
    <w:rsid w:val="00B73139"/>
    <w:rsid w:val="00B75CD6"/>
    <w:rsid w:val="00B77799"/>
    <w:rsid w:val="00B77EE0"/>
    <w:rsid w:val="00B801E3"/>
    <w:rsid w:val="00B802D8"/>
    <w:rsid w:val="00B81287"/>
    <w:rsid w:val="00B81616"/>
    <w:rsid w:val="00B8282D"/>
    <w:rsid w:val="00B82A3F"/>
    <w:rsid w:val="00B84B3E"/>
    <w:rsid w:val="00B84DFC"/>
    <w:rsid w:val="00B87265"/>
    <w:rsid w:val="00B8794C"/>
    <w:rsid w:val="00B909F0"/>
    <w:rsid w:val="00B945C5"/>
    <w:rsid w:val="00B9501B"/>
    <w:rsid w:val="00B96013"/>
    <w:rsid w:val="00B97E8E"/>
    <w:rsid w:val="00BA1BD4"/>
    <w:rsid w:val="00BA3B5B"/>
    <w:rsid w:val="00BA4706"/>
    <w:rsid w:val="00BA4734"/>
    <w:rsid w:val="00BA4F00"/>
    <w:rsid w:val="00BA643B"/>
    <w:rsid w:val="00BB1B44"/>
    <w:rsid w:val="00BB2BD4"/>
    <w:rsid w:val="00BB2C47"/>
    <w:rsid w:val="00BB3318"/>
    <w:rsid w:val="00BB5880"/>
    <w:rsid w:val="00BB5D3C"/>
    <w:rsid w:val="00BB7A6E"/>
    <w:rsid w:val="00BC60BA"/>
    <w:rsid w:val="00BC7954"/>
    <w:rsid w:val="00BD111D"/>
    <w:rsid w:val="00BD168B"/>
    <w:rsid w:val="00BD1EF8"/>
    <w:rsid w:val="00BD2815"/>
    <w:rsid w:val="00BD59FD"/>
    <w:rsid w:val="00BD708E"/>
    <w:rsid w:val="00BD78F6"/>
    <w:rsid w:val="00BE02FF"/>
    <w:rsid w:val="00BE08D7"/>
    <w:rsid w:val="00BE12EF"/>
    <w:rsid w:val="00BE24FD"/>
    <w:rsid w:val="00BE35F3"/>
    <w:rsid w:val="00BE3809"/>
    <w:rsid w:val="00BE5B52"/>
    <w:rsid w:val="00BE710C"/>
    <w:rsid w:val="00BF194D"/>
    <w:rsid w:val="00BF1BC1"/>
    <w:rsid w:val="00BF304E"/>
    <w:rsid w:val="00BF33C3"/>
    <w:rsid w:val="00BF5205"/>
    <w:rsid w:val="00BF73F8"/>
    <w:rsid w:val="00BF7652"/>
    <w:rsid w:val="00BF7DCA"/>
    <w:rsid w:val="00C013F1"/>
    <w:rsid w:val="00C02DE6"/>
    <w:rsid w:val="00C036B0"/>
    <w:rsid w:val="00C050DA"/>
    <w:rsid w:val="00C05CCD"/>
    <w:rsid w:val="00C075B3"/>
    <w:rsid w:val="00C07C4B"/>
    <w:rsid w:val="00C07D94"/>
    <w:rsid w:val="00C10F72"/>
    <w:rsid w:val="00C13197"/>
    <w:rsid w:val="00C15590"/>
    <w:rsid w:val="00C1581B"/>
    <w:rsid w:val="00C17255"/>
    <w:rsid w:val="00C17473"/>
    <w:rsid w:val="00C17783"/>
    <w:rsid w:val="00C20FCA"/>
    <w:rsid w:val="00C22FE6"/>
    <w:rsid w:val="00C231F4"/>
    <w:rsid w:val="00C27EFB"/>
    <w:rsid w:val="00C27FC2"/>
    <w:rsid w:val="00C31AA6"/>
    <w:rsid w:val="00C3289D"/>
    <w:rsid w:val="00C35B6A"/>
    <w:rsid w:val="00C37B8B"/>
    <w:rsid w:val="00C406B0"/>
    <w:rsid w:val="00C441F6"/>
    <w:rsid w:val="00C470B3"/>
    <w:rsid w:val="00C472B4"/>
    <w:rsid w:val="00C47336"/>
    <w:rsid w:val="00C4787E"/>
    <w:rsid w:val="00C47B7E"/>
    <w:rsid w:val="00C540CE"/>
    <w:rsid w:val="00C55BE2"/>
    <w:rsid w:val="00C621D4"/>
    <w:rsid w:val="00C6358E"/>
    <w:rsid w:val="00C63BF3"/>
    <w:rsid w:val="00C65405"/>
    <w:rsid w:val="00C71186"/>
    <w:rsid w:val="00C729E3"/>
    <w:rsid w:val="00C73864"/>
    <w:rsid w:val="00C74754"/>
    <w:rsid w:val="00C74960"/>
    <w:rsid w:val="00C74A60"/>
    <w:rsid w:val="00C75893"/>
    <w:rsid w:val="00C75F96"/>
    <w:rsid w:val="00C779D2"/>
    <w:rsid w:val="00C779F6"/>
    <w:rsid w:val="00C80BE8"/>
    <w:rsid w:val="00C82984"/>
    <w:rsid w:val="00C834C3"/>
    <w:rsid w:val="00C85369"/>
    <w:rsid w:val="00C86240"/>
    <w:rsid w:val="00C87835"/>
    <w:rsid w:val="00C90697"/>
    <w:rsid w:val="00C92008"/>
    <w:rsid w:val="00C92994"/>
    <w:rsid w:val="00C93877"/>
    <w:rsid w:val="00C9394D"/>
    <w:rsid w:val="00C94F39"/>
    <w:rsid w:val="00C968D1"/>
    <w:rsid w:val="00C96CEE"/>
    <w:rsid w:val="00CA0E4A"/>
    <w:rsid w:val="00CA1391"/>
    <w:rsid w:val="00CA5373"/>
    <w:rsid w:val="00CA57DD"/>
    <w:rsid w:val="00CA698D"/>
    <w:rsid w:val="00CB0986"/>
    <w:rsid w:val="00CB1EC3"/>
    <w:rsid w:val="00CB20D4"/>
    <w:rsid w:val="00CB2B7F"/>
    <w:rsid w:val="00CB3700"/>
    <w:rsid w:val="00CB4294"/>
    <w:rsid w:val="00CB4839"/>
    <w:rsid w:val="00CB4B77"/>
    <w:rsid w:val="00CB799D"/>
    <w:rsid w:val="00CC01D6"/>
    <w:rsid w:val="00CC053C"/>
    <w:rsid w:val="00CC0857"/>
    <w:rsid w:val="00CC39B7"/>
    <w:rsid w:val="00CC5FE8"/>
    <w:rsid w:val="00CC6081"/>
    <w:rsid w:val="00CC7135"/>
    <w:rsid w:val="00CD31C7"/>
    <w:rsid w:val="00CD3B96"/>
    <w:rsid w:val="00CD3E23"/>
    <w:rsid w:val="00CD5803"/>
    <w:rsid w:val="00CD6450"/>
    <w:rsid w:val="00CE0A72"/>
    <w:rsid w:val="00CE0C64"/>
    <w:rsid w:val="00CE1ED1"/>
    <w:rsid w:val="00CE2F65"/>
    <w:rsid w:val="00CE50FD"/>
    <w:rsid w:val="00CE53F9"/>
    <w:rsid w:val="00CF16FF"/>
    <w:rsid w:val="00CF2CC9"/>
    <w:rsid w:val="00CF4E32"/>
    <w:rsid w:val="00CF5CE6"/>
    <w:rsid w:val="00CF62FE"/>
    <w:rsid w:val="00CF6CAD"/>
    <w:rsid w:val="00CF6E2B"/>
    <w:rsid w:val="00D01676"/>
    <w:rsid w:val="00D01D10"/>
    <w:rsid w:val="00D01FBB"/>
    <w:rsid w:val="00D034D3"/>
    <w:rsid w:val="00D0357F"/>
    <w:rsid w:val="00D043D5"/>
    <w:rsid w:val="00D058C6"/>
    <w:rsid w:val="00D07F5C"/>
    <w:rsid w:val="00D104FD"/>
    <w:rsid w:val="00D10ADE"/>
    <w:rsid w:val="00D1227C"/>
    <w:rsid w:val="00D13C8B"/>
    <w:rsid w:val="00D16383"/>
    <w:rsid w:val="00D20264"/>
    <w:rsid w:val="00D25F2C"/>
    <w:rsid w:val="00D266D2"/>
    <w:rsid w:val="00D31EBC"/>
    <w:rsid w:val="00D40373"/>
    <w:rsid w:val="00D422D2"/>
    <w:rsid w:val="00D42CE9"/>
    <w:rsid w:val="00D443FA"/>
    <w:rsid w:val="00D446A0"/>
    <w:rsid w:val="00D458F3"/>
    <w:rsid w:val="00D47E1A"/>
    <w:rsid w:val="00D47EC1"/>
    <w:rsid w:val="00D515AD"/>
    <w:rsid w:val="00D5182A"/>
    <w:rsid w:val="00D525A5"/>
    <w:rsid w:val="00D5356D"/>
    <w:rsid w:val="00D53D0E"/>
    <w:rsid w:val="00D5541F"/>
    <w:rsid w:val="00D56999"/>
    <w:rsid w:val="00D631D3"/>
    <w:rsid w:val="00D668CF"/>
    <w:rsid w:val="00D67EA8"/>
    <w:rsid w:val="00D71EEF"/>
    <w:rsid w:val="00D72050"/>
    <w:rsid w:val="00D726E6"/>
    <w:rsid w:val="00D73A5A"/>
    <w:rsid w:val="00D754F8"/>
    <w:rsid w:val="00D759FE"/>
    <w:rsid w:val="00D76CB9"/>
    <w:rsid w:val="00D77001"/>
    <w:rsid w:val="00D770C1"/>
    <w:rsid w:val="00D77CEE"/>
    <w:rsid w:val="00D803B5"/>
    <w:rsid w:val="00D81114"/>
    <w:rsid w:val="00D819DF"/>
    <w:rsid w:val="00D83E81"/>
    <w:rsid w:val="00D845AD"/>
    <w:rsid w:val="00D84D76"/>
    <w:rsid w:val="00D86404"/>
    <w:rsid w:val="00D870BB"/>
    <w:rsid w:val="00D875E3"/>
    <w:rsid w:val="00D90805"/>
    <w:rsid w:val="00D91399"/>
    <w:rsid w:val="00D91C88"/>
    <w:rsid w:val="00D92E6E"/>
    <w:rsid w:val="00D9377D"/>
    <w:rsid w:val="00D94EA1"/>
    <w:rsid w:val="00D953A9"/>
    <w:rsid w:val="00D97152"/>
    <w:rsid w:val="00DA1948"/>
    <w:rsid w:val="00DA4B66"/>
    <w:rsid w:val="00DA6C96"/>
    <w:rsid w:val="00DA7D93"/>
    <w:rsid w:val="00DB042D"/>
    <w:rsid w:val="00DB1248"/>
    <w:rsid w:val="00DB2D06"/>
    <w:rsid w:val="00DB4C44"/>
    <w:rsid w:val="00DB4F49"/>
    <w:rsid w:val="00DB7DB9"/>
    <w:rsid w:val="00DC01DE"/>
    <w:rsid w:val="00DC179D"/>
    <w:rsid w:val="00DC1BB8"/>
    <w:rsid w:val="00DC4DBD"/>
    <w:rsid w:val="00DC518B"/>
    <w:rsid w:val="00DD0955"/>
    <w:rsid w:val="00DD1C79"/>
    <w:rsid w:val="00DD208B"/>
    <w:rsid w:val="00DD3178"/>
    <w:rsid w:val="00DD3A0C"/>
    <w:rsid w:val="00DD42C7"/>
    <w:rsid w:val="00DD5CA2"/>
    <w:rsid w:val="00DD601E"/>
    <w:rsid w:val="00DD6A94"/>
    <w:rsid w:val="00DE4C97"/>
    <w:rsid w:val="00DE60E8"/>
    <w:rsid w:val="00DE6E25"/>
    <w:rsid w:val="00DE7DE1"/>
    <w:rsid w:val="00DF4657"/>
    <w:rsid w:val="00DF5856"/>
    <w:rsid w:val="00DF5B3B"/>
    <w:rsid w:val="00DF6DD4"/>
    <w:rsid w:val="00E02E71"/>
    <w:rsid w:val="00E03504"/>
    <w:rsid w:val="00E05127"/>
    <w:rsid w:val="00E07029"/>
    <w:rsid w:val="00E1000B"/>
    <w:rsid w:val="00E12B40"/>
    <w:rsid w:val="00E133EA"/>
    <w:rsid w:val="00E13729"/>
    <w:rsid w:val="00E16A20"/>
    <w:rsid w:val="00E170DC"/>
    <w:rsid w:val="00E2190B"/>
    <w:rsid w:val="00E224E4"/>
    <w:rsid w:val="00E24BC4"/>
    <w:rsid w:val="00E2769C"/>
    <w:rsid w:val="00E27ABA"/>
    <w:rsid w:val="00E27D3E"/>
    <w:rsid w:val="00E30951"/>
    <w:rsid w:val="00E3100B"/>
    <w:rsid w:val="00E311FF"/>
    <w:rsid w:val="00E3313E"/>
    <w:rsid w:val="00E33673"/>
    <w:rsid w:val="00E34C0C"/>
    <w:rsid w:val="00E354FC"/>
    <w:rsid w:val="00E35A59"/>
    <w:rsid w:val="00E36C3E"/>
    <w:rsid w:val="00E370C4"/>
    <w:rsid w:val="00E40B37"/>
    <w:rsid w:val="00E41EFC"/>
    <w:rsid w:val="00E43052"/>
    <w:rsid w:val="00E44748"/>
    <w:rsid w:val="00E46447"/>
    <w:rsid w:val="00E47647"/>
    <w:rsid w:val="00E53061"/>
    <w:rsid w:val="00E56855"/>
    <w:rsid w:val="00E5741D"/>
    <w:rsid w:val="00E6104C"/>
    <w:rsid w:val="00E621C0"/>
    <w:rsid w:val="00E6350D"/>
    <w:rsid w:val="00E635EF"/>
    <w:rsid w:val="00E64A87"/>
    <w:rsid w:val="00E67C70"/>
    <w:rsid w:val="00E7013C"/>
    <w:rsid w:val="00E72075"/>
    <w:rsid w:val="00E76AC1"/>
    <w:rsid w:val="00E803BD"/>
    <w:rsid w:val="00E81BF9"/>
    <w:rsid w:val="00E82138"/>
    <w:rsid w:val="00E83CD0"/>
    <w:rsid w:val="00E850B3"/>
    <w:rsid w:val="00E867F5"/>
    <w:rsid w:val="00E930E9"/>
    <w:rsid w:val="00E956F6"/>
    <w:rsid w:val="00E95930"/>
    <w:rsid w:val="00E95A50"/>
    <w:rsid w:val="00EA01F0"/>
    <w:rsid w:val="00EA4E3C"/>
    <w:rsid w:val="00EA53A0"/>
    <w:rsid w:val="00EA5CED"/>
    <w:rsid w:val="00EA66A7"/>
    <w:rsid w:val="00EA7A3B"/>
    <w:rsid w:val="00EB222A"/>
    <w:rsid w:val="00EB25F5"/>
    <w:rsid w:val="00EB2DC2"/>
    <w:rsid w:val="00EB329F"/>
    <w:rsid w:val="00EB4127"/>
    <w:rsid w:val="00EB4B7D"/>
    <w:rsid w:val="00EB50C3"/>
    <w:rsid w:val="00EC0E21"/>
    <w:rsid w:val="00EC4739"/>
    <w:rsid w:val="00EC5696"/>
    <w:rsid w:val="00EC7344"/>
    <w:rsid w:val="00ED1B1C"/>
    <w:rsid w:val="00ED226B"/>
    <w:rsid w:val="00ED23DF"/>
    <w:rsid w:val="00ED263E"/>
    <w:rsid w:val="00ED2AAF"/>
    <w:rsid w:val="00ED4A5D"/>
    <w:rsid w:val="00EE0A98"/>
    <w:rsid w:val="00EE0B0E"/>
    <w:rsid w:val="00EE0C35"/>
    <w:rsid w:val="00EE1B29"/>
    <w:rsid w:val="00EE57CF"/>
    <w:rsid w:val="00EE662C"/>
    <w:rsid w:val="00EE6A74"/>
    <w:rsid w:val="00EE70BA"/>
    <w:rsid w:val="00EE7B93"/>
    <w:rsid w:val="00EF1A40"/>
    <w:rsid w:val="00EF21DD"/>
    <w:rsid w:val="00EF4505"/>
    <w:rsid w:val="00EF5AD7"/>
    <w:rsid w:val="00EF634B"/>
    <w:rsid w:val="00EF6D0E"/>
    <w:rsid w:val="00F01808"/>
    <w:rsid w:val="00F045EA"/>
    <w:rsid w:val="00F04A30"/>
    <w:rsid w:val="00F11502"/>
    <w:rsid w:val="00F121D7"/>
    <w:rsid w:val="00F127FC"/>
    <w:rsid w:val="00F12EA1"/>
    <w:rsid w:val="00F1351F"/>
    <w:rsid w:val="00F143A3"/>
    <w:rsid w:val="00F162AE"/>
    <w:rsid w:val="00F213D9"/>
    <w:rsid w:val="00F21876"/>
    <w:rsid w:val="00F26F94"/>
    <w:rsid w:val="00F27028"/>
    <w:rsid w:val="00F2703C"/>
    <w:rsid w:val="00F27859"/>
    <w:rsid w:val="00F30254"/>
    <w:rsid w:val="00F30590"/>
    <w:rsid w:val="00F3059F"/>
    <w:rsid w:val="00F3563A"/>
    <w:rsid w:val="00F37701"/>
    <w:rsid w:val="00F41B96"/>
    <w:rsid w:val="00F427BD"/>
    <w:rsid w:val="00F42FB4"/>
    <w:rsid w:val="00F46D07"/>
    <w:rsid w:val="00F46FF0"/>
    <w:rsid w:val="00F47C56"/>
    <w:rsid w:val="00F509E0"/>
    <w:rsid w:val="00F5103E"/>
    <w:rsid w:val="00F53878"/>
    <w:rsid w:val="00F56746"/>
    <w:rsid w:val="00F60786"/>
    <w:rsid w:val="00F60D3D"/>
    <w:rsid w:val="00F614B0"/>
    <w:rsid w:val="00F6254F"/>
    <w:rsid w:val="00F66EC1"/>
    <w:rsid w:val="00F712F2"/>
    <w:rsid w:val="00F71AAD"/>
    <w:rsid w:val="00F720D0"/>
    <w:rsid w:val="00F72F74"/>
    <w:rsid w:val="00F73544"/>
    <w:rsid w:val="00F735A4"/>
    <w:rsid w:val="00F735B8"/>
    <w:rsid w:val="00F77FAC"/>
    <w:rsid w:val="00F82F50"/>
    <w:rsid w:val="00F83D79"/>
    <w:rsid w:val="00F86F66"/>
    <w:rsid w:val="00F907F2"/>
    <w:rsid w:val="00F91FE1"/>
    <w:rsid w:val="00F933CE"/>
    <w:rsid w:val="00F94862"/>
    <w:rsid w:val="00F94A2E"/>
    <w:rsid w:val="00F96AB2"/>
    <w:rsid w:val="00F96D09"/>
    <w:rsid w:val="00FA22F8"/>
    <w:rsid w:val="00FA4985"/>
    <w:rsid w:val="00FA570F"/>
    <w:rsid w:val="00FA6D0C"/>
    <w:rsid w:val="00FA7079"/>
    <w:rsid w:val="00FA74F6"/>
    <w:rsid w:val="00FB0432"/>
    <w:rsid w:val="00FB25F2"/>
    <w:rsid w:val="00FB31AD"/>
    <w:rsid w:val="00FB5AEA"/>
    <w:rsid w:val="00FB7995"/>
    <w:rsid w:val="00FB7BF7"/>
    <w:rsid w:val="00FC0761"/>
    <w:rsid w:val="00FC07C7"/>
    <w:rsid w:val="00FC1362"/>
    <w:rsid w:val="00FC1B6C"/>
    <w:rsid w:val="00FC1DB7"/>
    <w:rsid w:val="00FC546F"/>
    <w:rsid w:val="00FC573C"/>
    <w:rsid w:val="00FC593A"/>
    <w:rsid w:val="00FC747F"/>
    <w:rsid w:val="00FD07A6"/>
    <w:rsid w:val="00FD2764"/>
    <w:rsid w:val="00FD45A0"/>
    <w:rsid w:val="00FD49ED"/>
    <w:rsid w:val="00FD76CF"/>
    <w:rsid w:val="00FD7BE0"/>
    <w:rsid w:val="00FE01A3"/>
    <w:rsid w:val="00FE096F"/>
    <w:rsid w:val="00FE1783"/>
    <w:rsid w:val="00FE18BA"/>
    <w:rsid w:val="00FE1C43"/>
    <w:rsid w:val="00FE2415"/>
    <w:rsid w:val="00FE56D1"/>
    <w:rsid w:val="00FE63FA"/>
    <w:rsid w:val="00FF1197"/>
    <w:rsid w:val="00FF29E6"/>
    <w:rsid w:val="00FF2E0D"/>
    <w:rsid w:val="00FF2FCA"/>
    <w:rsid w:val="00FF36C3"/>
    <w:rsid w:val="00FF38CE"/>
    <w:rsid w:val="00FF407F"/>
    <w:rsid w:val="00FF4DAA"/>
    <w:rsid w:val="37005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qFormat="1" w:unhideWhenUsed="0" w:uiPriority="0" w:name="index 2"/>
    <w:lsdException w:unhideWhenUsed="0" w:uiPriority="0" w:name="index 3"/>
    <w:lsdException w:qFormat="1"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qFormat="1" w:unhideWhenUsed="0" w:uiPriority="39" w:semiHidden="0" w:name="toc 1"/>
    <w:lsdException w:uiPriority="39" w:semiHidden="0" w:name="toc 2"/>
    <w:lsdException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name="annotation text"/>
    <w:lsdException w:qFormat="1" w:uiPriority="0" w:semiHidden="0" w:name="header"/>
    <w:lsdException w:uiPriority="99" w:semiHidden="0" w:name="footer"/>
    <w:lsdException w:unhideWhenUsed="0" w:uiPriority="0" w:name="index heading"/>
    <w:lsdException w:qFormat="1" w:unhideWhenUsed="0" w:uiPriority="0" w:semiHidden="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Times New Roman" w:hAnsi="Times New Roman" w:eastAsia="Times New Roman" w:cs="Times New Roman"/>
      <w:sz w:val="24"/>
      <w:lang w:val="sq-AL" w:eastAsia="it-IT" w:bidi="ar-SA"/>
    </w:rPr>
  </w:style>
  <w:style w:type="paragraph" w:styleId="2">
    <w:name w:val="heading 1"/>
    <w:basedOn w:val="1"/>
    <w:next w:val="1"/>
    <w:link w:val="106"/>
    <w:qFormat/>
    <w:uiPriority w:val="0"/>
    <w:pPr>
      <w:keepNext/>
      <w:spacing w:before="240" w:after="60"/>
      <w:outlineLvl w:val="0"/>
    </w:pPr>
    <w:rPr>
      <w:rFonts w:ascii="Cambria" w:hAnsi="Cambria"/>
      <w:b/>
      <w:bCs/>
      <w:kern w:val="32"/>
      <w:sz w:val="32"/>
      <w:szCs w:val="32"/>
      <w:lang w:val="en-GB"/>
    </w:rPr>
  </w:style>
  <w:style w:type="paragraph" w:styleId="3">
    <w:name w:val="heading 2"/>
    <w:basedOn w:val="1"/>
    <w:next w:val="1"/>
    <w:link w:val="107"/>
    <w:unhideWhenUsed/>
    <w:qFormat/>
    <w:uiPriority w:val="9"/>
    <w:pPr>
      <w:keepNext/>
      <w:spacing w:before="240" w:after="60"/>
      <w:outlineLvl w:val="1"/>
    </w:pPr>
    <w:rPr>
      <w:rFonts w:ascii="Cambria" w:hAnsi="Cambria"/>
      <w:b/>
      <w:bCs/>
      <w:i/>
      <w:iCs/>
      <w:sz w:val="28"/>
      <w:szCs w:val="28"/>
      <w:lang w:val="en-GB"/>
    </w:rPr>
  </w:style>
  <w:style w:type="paragraph" w:styleId="4">
    <w:name w:val="heading 3"/>
    <w:basedOn w:val="1"/>
    <w:next w:val="1"/>
    <w:link w:val="108"/>
    <w:unhideWhenUsed/>
    <w:qFormat/>
    <w:uiPriority w:val="9"/>
    <w:pPr>
      <w:keepNext/>
      <w:keepLines/>
      <w:spacing w:before="200" w:after="0"/>
      <w:outlineLvl w:val="2"/>
    </w:pPr>
    <w:rPr>
      <w:rFonts w:ascii="Cambria" w:hAnsi="Cambria"/>
      <w:b/>
      <w:bCs/>
      <w:color w:val="4F81BD"/>
      <w:sz w:val="22"/>
      <w:szCs w:val="22"/>
    </w:rPr>
  </w:style>
  <w:style w:type="paragraph" w:styleId="5">
    <w:name w:val="heading 4"/>
    <w:basedOn w:val="1"/>
    <w:next w:val="1"/>
    <w:link w:val="119"/>
    <w:unhideWhenUsed/>
    <w:qFormat/>
    <w:uiPriority w:val="9"/>
    <w:pPr>
      <w:keepNext/>
      <w:spacing w:before="240" w:after="60"/>
      <w:outlineLvl w:val="3"/>
    </w:pPr>
    <w:rPr>
      <w:rFonts w:ascii="Calibri" w:hAnsi="Calibri"/>
      <w:b/>
      <w:bCs/>
      <w:sz w:val="28"/>
      <w:szCs w:val="28"/>
      <w:lang w:val="en-GB"/>
    </w:rPr>
  </w:style>
  <w:style w:type="paragraph" w:styleId="6">
    <w:name w:val="heading 5"/>
    <w:basedOn w:val="1"/>
    <w:next w:val="1"/>
    <w:link w:val="122"/>
    <w:unhideWhenUsed/>
    <w:qFormat/>
    <w:uiPriority w:val="9"/>
    <w:pPr>
      <w:keepNext/>
      <w:keepLines/>
      <w:spacing w:before="200" w:after="0"/>
      <w:outlineLvl w:val="4"/>
    </w:pPr>
    <w:rPr>
      <w:rFonts w:ascii="Cambria" w:hAnsi="Cambria"/>
      <w:color w:val="243F60"/>
      <w:sz w:val="22"/>
      <w:szCs w:val="22"/>
    </w:rPr>
  </w:style>
  <w:style w:type="paragraph" w:styleId="7">
    <w:name w:val="heading 6"/>
    <w:basedOn w:val="1"/>
    <w:next w:val="1"/>
    <w:link w:val="131"/>
    <w:qFormat/>
    <w:uiPriority w:val="0"/>
    <w:pPr>
      <w:spacing w:before="240" w:after="60"/>
      <w:outlineLvl w:val="5"/>
    </w:pPr>
    <w:rPr>
      <w:rFonts w:eastAsia="MS Mincho"/>
      <w:i/>
      <w:sz w:val="22"/>
    </w:rPr>
  </w:style>
  <w:style w:type="paragraph" w:styleId="8">
    <w:name w:val="heading 7"/>
    <w:basedOn w:val="1"/>
    <w:next w:val="1"/>
    <w:link w:val="132"/>
    <w:qFormat/>
    <w:uiPriority w:val="0"/>
    <w:pPr>
      <w:spacing w:before="240" w:after="60"/>
      <w:outlineLvl w:val="6"/>
    </w:pPr>
    <w:rPr>
      <w:rFonts w:ascii="Arial" w:hAnsi="Arial" w:eastAsia="MS Mincho"/>
      <w:sz w:val="20"/>
    </w:rPr>
  </w:style>
  <w:style w:type="paragraph" w:styleId="9">
    <w:name w:val="heading 8"/>
    <w:basedOn w:val="1"/>
    <w:next w:val="1"/>
    <w:link w:val="133"/>
    <w:qFormat/>
    <w:uiPriority w:val="0"/>
    <w:pPr>
      <w:spacing w:before="240" w:after="60"/>
      <w:outlineLvl w:val="7"/>
    </w:pPr>
    <w:rPr>
      <w:rFonts w:ascii="Arial" w:hAnsi="Arial" w:eastAsia="MS Mincho"/>
      <w:i/>
      <w:sz w:val="20"/>
    </w:rPr>
  </w:style>
  <w:style w:type="paragraph" w:styleId="10">
    <w:name w:val="heading 9"/>
    <w:basedOn w:val="1"/>
    <w:next w:val="1"/>
    <w:link w:val="134"/>
    <w:qFormat/>
    <w:uiPriority w:val="0"/>
    <w:pPr>
      <w:spacing w:before="240" w:after="60"/>
      <w:outlineLvl w:val="8"/>
    </w:pPr>
    <w:rPr>
      <w:rFonts w:ascii="Arial" w:hAnsi="Arial" w:eastAsia="MS Mincho"/>
      <w:b/>
      <w:i/>
      <w:sz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05"/>
    <w:semiHidden/>
    <w:unhideWhenUsed/>
    <w:qFormat/>
    <w:uiPriority w:val="99"/>
    <w:pPr>
      <w:spacing w:after="0"/>
    </w:pPr>
    <w:rPr>
      <w:rFonts w:ascii="Tahoma" w:hAnsi="Tahoma"/>
      <w:sz w:val="16"/>
      <w:szCs w:val="16"/>
      <w:lang w:val="en-GB"/>
    </w:rPr>
  </w:style>
  <w:style w:type="paragraph" w:styleId="14">
    <w:name w:val="Block Text"/>
    <w:basedOn w:val="1"/>
    <w:uiPriority w:val="0"/>
    <w:pPr>
      <w:spacing w:after="120"/>
      <w:ind w:left="1440" w:right="1440"/>
    </w:pPr>
    <w:rPr>
      <w:rFonts w:eastAsia="MS Mincho"/>
    </w:rPr>
  </w:style>
  <w:style w:type="paragraph" w:styleId="15">
    <w:name w:val="Body Text"/>
    <w:basedOn w:val="1"/>
    <w:link w:val="117"/>
    <w:unhideWhenUsed/>
    <w:uiPriority w:val="0"/>
    <w:pPr>
      <w:spacing w:after="120"/>
    </w:pPr>
    <w:rPr>
      <w:lang w:val="en-GB"/>
    </w:rPr>
  </w:style>
  <w:style w:type="paragraph" w:styleId="16">
    <w:name w:val="Body Text 2"/>
    <w:basedOn w:val="1"/>
    <w:link w:val="110"/>
    <w:qFormat/>
    <w:uiPriority w:val="0"/>
    <w:pPr>
      <w:tabs>
        <w:tab w:val="left" w:pos="360"/>
      </w:tabs>
      <w:spacing w:before="120" w:after="120"/>
      <w:ind w:left="360" w:hanging="360"/>
      <w:jc w:val="center"/>
    </w:pPr>
    <w:rPr>
      <w:b/>
      <w:sz w:val="28"/>
    </w:rPr>
  </w:style>
  <w:style w:type="paragraph" w:styleId="17">
    <w:name w:val="Body Text 3"/>
    <w:basedOn w:val="1"/>
    <w:link w:val="172"/>
    <w:uiPriority w:val="0"/>
    <w:pPr>
      <w:spacing w:after="120"/>
    </w:pPr>
    <w:rPr>
      <w:rFonts w:eastAsia="MS Mincho"/>
      <w:sz w:val="16"/>
    </w:rPr>
  </w:style>
  <w:style w:type="paragraph" w:styleId="18">
    <w:name w:val="Body Text First Indent"/>
    <w:basedOn w:val="15"/>
    <w:link w:val="173"/>
    <w:uiPriority w:val="0"/>
    <w:pPr>
      <w:ind w:firstLine="210"/>
    </w:pPr>
    <w:rPr>
      <w:rFonts w:eastAsia="MS Mincho"/>
      <w:lang w:val="sq-AL"/>
    </w:rPr>
  </w:style>
  <w:style w:type="paragraph" w:styleId="19">
    <w:name w:val="Body Text Indent"/>
    <w:basedOn w:val="1"/>
    <w:link w:val="174"/>
    <w:uiPriority w:val="0"/>
    <w:pPr>
      <w:spacing w:after="120"/>
      <w:ind w:left="283"/>
    </w:pPr>
    <w:rPr>
      <w:rFonts w:eastAsia="MS Mincho"/>
    </w:rPr>
  </w:style>
  <w:style w:type="paragraph" w:styleId="20">
    <w:name w:val="Body Text First Indent 2"/>
    <w:basedOn w:val="19"/>
    <w:link w:val="175"/>
    <w:uiPriority w:val="0"/>
    <w:pPr>
      <w:ind w:firstLine="210"/>
    </w:pPr>
  </w:style>
  <w:style w:type="paragraph" w:styleId="21">
    <w:name w:val="Body Text Indent 2"/>
    <w:basedOn w:val="1"/>
    <w:link w:val="176"/>
    <w:uiPriority w:val="0"/>
    <w:pPr>
      <w:spacing w:after="120" w:line="480" w:lineRule="auto"/>
      <w:ind w:left="283"/>
    </w:pPr>
    <w:rPr>
      <w:rFonts w:eastAsia="MS Mincho"/>
    </w:rPr>
  </w:style>
  <w:style w:type="paragraph" w:styleId="22">
    <w:name w:val="Body Text Indent 3"/>
    <w:basedOn w:val="1"/>
    <w:link w:val="177"/>
    <w:uiPriority w:val="0"/>
    <w:pPr>
      <w:spacing w:after="120"/>
      <w:ind w:left="283"/>
    </w:pPr>
    <w:rPr>
      <w:rFonts w:eastAsia="MS Mincho"/>
      <w:sz w:val="16"/>
    </w:rPr>
  </w:style>
  <w:style w:type="paragraph" w:styleId="23">
    <w:name w:val="caption"/>
    <w:basedOn w:val="1"/>
    <w:next w:val="1"/>
    <w:qFormat/>
    <w:uiPriority w:val="0"/>
    <w:pPr>
      <w:spacing w:before="120" w:after="120"/>
      <w:ind w:right="-403"/>
    </w:pPr>
    <w:rPr>
      <w:b/>
    </w:rPr>
  </w:style>
  <w:style w:type="paragraph" w:styleId="24">
    <w:name w:val="Closing"/>
    <w:basedOn w:val="1"/>
    <w:next w:val="25"/>
    <w:link w:val="156"/>
    <w:uiPriority w:val="0"/>
    <w:pPr>
      <w:tabs>
        <w:tab w:val="left" w:pos="5103"/>
      </w:tabs>
      <w:spacing w:before="240"/>
      <w:ind w:left="5103"/>
      <w:jc w:val="left"/>
    </w:pPr>
    <w:rPr>
      <w:rFonts w:eastAsia="MS Mincho"/>
    </w:rPr>
  </w:style>
  <w:style w:type="paragraph" w:styleId="25">
    <w:name w:val="Signature"/>
    <w:basedOn w:val="1"/>
    <w:next w:val="26"/>
    <w:link w:val="157"/>
    <w:uiPriority w:val="0"/>
    <w:pPr>
      <w:tabs>
        <w:tab w:val="left" w:pos="5103"/>
      </w:tabs>
      <w:spacing w:before="1200" w:after="0"/>
      <w:ind w:left="5103"/>
      <w:jc w:val="left"/>
    </w:pPr>
    <w:rPr>
      <w:rFonts w:eastAsia="MS Mincho"/>
    </w:rPr>
  </w:style>
  <w:style w:type="paragraph" w:customStyle="1" w:styleId="26">
    <w:name w:val="Enclosures"/>
    <w:basedOn w:val="1"/>
    <w:next w:val="27"/>
    <w:uiPriority w:val="0"/>
    <w:pPr>
      <w:keepNext/>
      <w:keepLines/>
      <w:spacing w:before="480" w:after="0"/>
      <w:ind w:left="1191" w:hanging="1191"/>
      <w:jc w:val="left"/>
    </w:pPr>
    <w:rPr>
      <w:rFonts w:eastAsia="MS Mincho"/>
    </w:rPr>
  </w:style>
  <w:style w:type="paragraph" w:customStyle="1" w:styleId="27">
    <w:name w:val="Copies"/>
    <w:basedOn w:val="1"/>
    <w:uiPriority w:val="0"/>
    <w:pPr>
      <w:tabs>
        <w:tab w:val="left" w:pos="1678"/>
        <w:tab w:val="left" w:pos="2398"/>
        <w:tab w:val="left" w:pos="5398"/>
        <w:tab w:val="left" w:pos="6361"/>
      </w:tabs>
      <w:spacing w:before="480" w:after="0"/>
      <w:ind w:left="1191" w:hanging="1191"/>
      <w:jc w:val="left"/>
    </w:pPr>
    <w:rPr>
      <w:rFonts w:eastAsia="MS Mincho"/>
    </w:rPr>
  </w:style>
  <w:style w:type="character" w:styleId="28">
    <w:name w:val="annotation reference"/>
    <w:basedOn w:val="11"/>
    <w:semiHidden/>
    <w:qFormat/>
    <w:uiPriority w:val="0"/>
    <w:rPr>
      <w:position w:val="6"/>
      <w:sz w:val="20"/>
    </w:rPr>
  </w:style>
  <w:style w:type="paragraph" w:styleId="29">
    <w:name w:val="annotation text"/>
    <w:basedOn w:val="1"/>
    <w:link w:val="138"/>
    <w:semiHidden/>
    <w:uiPriority w:val="0"/>
    <w:pPr>
      <w:ind w:left="1077" w:hanging="1077"/>
    </w:pPr>
    <w:rPr>
      <w:rFonts w:eastAsia="MS Mincho"/>
      <w:sz w:val="20"/>
    </w:rPr>
  </w:style>
  <w:style w:type="paragraph" w:styleId="30">
    <w:name w:val="annotation subject"/>
    <w:basedOn w:val="29"/>
    <w:next w:val="29"/>
    <w:link w:val="187"/>
    <w:semiHidden/>
    <w:uiPriority w:val="0"/>
    <w:pPr>
      <w:ind w:left="0" w:firstLine="0"/>
    </w:pPr>
    <w:rPr>
      <w:b/>
      <w:bCs/>
    </w:rPr>
  </w:style>
  <w:style w:type="paragraph" w:styleId="31">
    <w:name w:val="Date"/>
    <w:basedOn w:val="1"/>
    <w:next w:val="1"/>
    <w:link w:val="178"/>
    <w:uiPriority w:val="0"/>
    <w:rPr>
      <w:rFonts w:eastAsia="MS Mincho"/>
    </w:rPr>
  </w:style>
  <w:style w:type="paragraph" w:styleId="32">
    <w:name w:val="Document Map"/>
    <w:basedOn w:val="1"/>
    <w:link w:val="170"/>
    <w:semiHidden/>
    <w:uiPriority w:val="0"/>
    <w:pPr>
      <w:shd w:val="clear" w:color="auto" w:fill="000080"/>
    </w:pPr>
    <w:rPr>
      <w:rFonts w:ascii="Tahoma" w:hAnsi="Tahoma" w:eastAsia="MS Mincho"/>
    </w:rPr>
  </w:style>
  <w:style w:type="paragraph" w:styleId="33">
    <w:name w:val="E-mail Signature"/>
    <w:basedOn w:val="1"/>
    <w:link w:val="207"/>
    <w:semiHidden/>
    <w:unhideWhenUsed/>
    <w:uiPriority w:val="99"/>
    <w:pPr>
      <w:spacing w:after="0"/>
      <w:jc w:val="left"/>
    </w:pPr>
    <w:rPr>
      <w:szCs w:val="24"/>
      <w:lang w:val="en-US" w:eastAsia="en-US"/>
    </w:rPr>
  </w:style>
  <w:style w:type="character" w:styleId="34">
    <w:name w:val="Emphasis"/>
    <w:qFormat/>
    <w:uiPriority w:val="0"/>
    <w:rPr>
      <w:i/>
      <w:iCs/>
    </w:rPr>
  </w:style>
  <w:style w:type="character" w:styleId="35">
    <w:name w:val="endnote reference"/>
    <w:basedOn w:val="11"/>
    <w:semiHidden/>
    <w:uiPriority w:val="0"/>
    <w:rPr>
      <w:vertAlign w:val="superscript"/>
    </w:rPr>
  </w:style>
  <w:style w:type="paragraph" w:styleId="36">
    <w:name w:val="endnote text"/>
    <w:basedOn w:val="1"/>
    <w:link w:val="166"/>
    <w:semiHidden/>
    <w:uiPriority w:val="0"/>
    <w:rPr>
      <w:rFonts w:eastAsia="MS Mincho"/>
      <w:sz w:val="20"/>
    </w:rPr>
  </w:style>
  <w:style w:type="paragraph" w:styleId="37">
    <w:name w:val="envelope address"/>
    <w:basedOn w:val="1"/>
    <w:uiPriority w:val="0"/>
    <w:pPr>
      <w:framePr w:w="7920" w:h="1980" w:hRule="exact" w:hSpace="180" w:wrap="auto" w:vAnchor="margin" w:hAnchor="page" w:xAlign="center" w:yAlign="bottom"/>
      <w:ind w:left="2880"/>
    </w:pPr>
    <w:rPr>
      <w:rFonts w:ascii="Arial" w:hAnsi="Arial" w:eastAsia="MS Mincho"/>
    </w:rPr>
  </w:style>
  <w:style w:type="paragraph" w:styleId="38">
    <w:name w:val="envelope return"/>
    <w:basedOn w:val="1"/>
    <w:uiPriority w:val="0"/>
    <w:rPr>
      <w:rFonts w:ascii="Arial" w:hAnsi="Arial" w:eastAsia="MS Mincho"/>
      <w:sz w:val="20"/>
    </w:rPr>
  </w:style>
  <w:style w:type="character" w:styleId="39">
    <w:name w:val="FollowedHyperlink"/>
    <w:basedOn w:val="11"/>
    <w:uiPriority w:val="0"/>
    <w:rPr>
      <w:color w:val="000000"/>
      <w:u w:val="none"/>
    </w:rPr>
  </w:style>
  <w:style w:type="paragraph" w:styleId="40">
    <w:name w:val="footer"/>
    <w:basedOn w:val="1"/>
    <w:link w:val="104"/>
    <w:unhideWhenUsed/>
    <w:uiPriority w:val="99"/>
    <w:pPr>
      <w:tabs>
        <w:tab w:val="center" w:pos="4680"/>
        <w:tab w:val="right" w:pos="9360"/>
      </w:tabs>
    </w:pPr>
    <w:rPr>
      <w:lang w:val="en-GB"/>
    </w:rPr>
  </w:style>
  <w:style w:type="character" w:styleId="41">
    <w:name w:val="footnote reference"/>
    <w:semiHidden/>
    <w:uiPriority w:val="0"/>
    <w:rPr>
      <w:rFonts w:ascii="TimesNewRomanPS" w:hAnsi="TimesNewRomanPS"/>
      <w:position w:val="6"/>
      <w:sz w:val="16"/>
    </w:rPr>
  </w:style>
  <w:style w:type="paragraph" w:styleId="42">
    <w:name w:val="footnote text"/>
    <w:basedOn w:val="1"/>
    <w:link w:val="100"/>
    <w:uiPriority w:val="0"/>
    <w:pPr>
      <w:ind w:left="357" w:hanging="357"/>
    </w:pPr>
    <w:rPr>
      <w:sz w:val="20"/>
      <w:lang w:val="en-GB"/>
    </w:rPr>
  </w:style>
  <w:style w:type="paragraph" w:styleId="43">
    <w:name w:val="header"/>
    <w:basedOn w:val="1"/>
    <w:link w:val="103"/>
    <w:unhideWhenUsed/>
    <w:qFormat/>
    <w:uiPriority w:val="0"/>
    <w:pPr>
      <w:tabs>
        <w:tab w:val="center" w:pos="4680"/>
        <w:tab w:val="right" w:pos="9360"/>
      </w:tabs>
    </w:pPr>
    <w:rPr>
      <w:lang w:val="en-GB"/>
    </w:rPr>
  </w:style>
  <w:style w:type="character" w:styleId="44">
    <w:name w:val="Hyperlink"/>
    <w:qFormat/>
    <w:uiPriority w:val="99"/>
    <w:rPr>
      <w:color w:val="000000"/>
      <w:u w:val="none"/>
    </w:rPr>
  </w:style>
  <w:style w:type="paragraph" w:styleId="45">
    <w:name w:val="index 1"/>
    <w:basedOn w:val="1"/>
    <w:next w:val="1"/>
    <w:autoRedefine/>
    <w:semiHidden/>
    <w:unhideWhenUsed/>
    <w:uiPriority w:val="99"/>
    <w:pPr>
      <w:ind w:left="240" w:hanging="240"/>
    </w:pPr>
  </w:style>
  <w:style w:type="paragraph" w:styleId="46">
    <w:name w:val="index 2"/>
    <w:basedOn w:val="1"/>
    <w:next w:val="1"/>
    <w:semiHidden/>
    <w:qFormat/>
    <w:uiPriority w:val="0"/>
    <w:pPr>
      <w:spacing w:after="0"/>
      <w:ind w:left="601"/>
      <w:jc w:val="left"/>
    </w:pPr>
    <w:rPr>
      <w:rFonts w:eastAsia="MS Mincho"/>
    </w:rPr>
  </w:style>
  <w:style w:type="paragraph" w:styleId="47">
    <w:name w:val="index 3"/>
    <w:basedOn w:val="1"/>
    <w:next w:val="1"/>
    <w:semiHidden/>
    <w:uiPriority w:val="0"/>
    <w:pPr>
      <w:spacing w:after="0"/>
      <w:ind w:left="1197"/>
      <w:jc w:val="left"/>
    </w:pPr>
    <w:rPr>
      <w:rFonts w:eastAsia="MS Mincho"/>
    </w:rPr>
  </w:style>
  <w:style w:type="paragraph" w:styleId="48">
    <w:name w:val="index 4"/>
    <w:basedOn w:val="1"/>
    <w:next w:val="1"/>
    <w:autoRedefine/>
    <w:semiHidden/>
    <w:unhideWhenUsed/>
    <w:qFormat/>
    <w:uiPriority w:val="0"/>
    <w:pPr>
      <w:ind w:left="960" w:hanging="240"/>
    </w:pPr>
  </w:style>
  <w:style w:type="paragraph" w:styleId="49">
    <w:name w:val="index 5"/>
    <w:basedOn w:val="1"/>
    <w:next w:val="1"/>
    <w:autoRedefine/>
    <w:semiHidden/>
    <w:uiPriority w:val="0"/>
    <w:pPr>
      <w:ind w:left="1200" w:hanging="240"/>
    </w:pPr>
    <w:rPr>
      <w:rFonts w:eastAsia="MS Mincho"/>
    </w:rPr>
  </w:style>
  <w:style w:type="paragraph" w:styleId="50">
    <w:name w:val="index 6"/>
    <w:basedOn w:val="1"/>
    <w:next w:val="1"/>
    <w:autoRedefine/>
    <w:semiHidden/>
    <w:uiPriority w:val="0"/>
    <w:pPr>
      <w:ind w:left="1440" w:hanging="240"/>
    </w:pPr>
    <w:rPr>
      <w:rFonts w:eastAsia="MS Mincho"/>
    </w:rPr>
  </w:style>
  <w:style w:type="paragraph" w:styleId="51">
    <w:name w:val="index 7"/>
    <w:basedOn w:val="1"/>
    <w:next w:val="1"/>
    <w:autoRedefine/>
    <w:semiHidden/>
    <w:uiPriority w:val="0"/>
    <w:pPr>
      <w:ind w:left="1680" w:hanging="240"/>
    </w:pPr>
    <w:rPr>
      <w:rFonts w:eastAsia="MS Mincho"/>
    </w:rPr>
  </w:style>
  <w:style w:type="paragraph" w:styleId="52">
    <w:name w:val="index 8"/>
    <w:basedOn w:val="1"/>
    <w:next w:val="1"/>
    <w:autoRedefine/>
    <w:semiHidden/>
    <w:uiPriority w:val="0"/>
    <w:pPr>
      <w:ind w:left="1920" w:hanging="240"/>
    </w:pPr>
    <w:rPr>
      <w:rFonts w:eastAsia="MS Mincho"/>
    </w:rPr>
  </w:style>
  <w:style w:type="paragraph" w:styleId="53">
    <w:name w:val="index 9"/>
    <w:basedOn w:val="1"/>
    <w:next w:val="1"/>
    <w:autoRedefine/>
    <w:semiHidden/>
    <w:uiPriority w:val="0"/>
    <w:pPr>
      <w:ind w:left="2160" w:hanging="240"/>
    </w:pPr>
    <w:rPr>
      <w:rFonts w:eastAsia="MS Mincho"/>
    </w:rPr>
  </w:style>
  <w:style w:type="paragraph" w:styleId="54">
    <w:name w:val="index heading"/>
    <w:basedOn w:val="1"/>
    <w:next w:val="45"/>
    <w:semiHidden/>
    <w:uiPriority w:val="0"/>
    <w:rPr>
      <w:rFonts w:ascii="MS Sans Serif" w:hAnsi="MS Sans Serif"/>
      <w:b/>
      <w:sz w:val="28"/>
    </w:rPr>
  </w:style>
  <w:style w:type="character" w:styleId="55">
    <w:name w:val="line number"/>
    <w:basedOn w:val="11"/>
    <w:uiPriority w:val="0"/>
    <w:rPr>
      <w:sz w:val="20"/>
    </w:rPr>
  </w:style>
  <w:style w:type="paragraph" w:styleId="56">
    <w:name w:val="List"/>
    <w:basedOn w:val="1"/>
    <w:uiPriority w:val="0"/>
    <w:pPr>
      <w:ind w:left="283" w:hanging="283"/>
    </w:pPr>
    <w:rPr>
      <w:rFonts w:eastAsia="MS Mincho"/>
    </w:rPr>
  </w:style>
  <w:style w:type="paragraph" w:styleId="57">
    <w:name w:val="List 2"/>
    <w:basedOn w:val="1"/>
    <w:uiPriority w:val="0"/>
    <w:pPr>
      <w:ind w:left="566" w:hanging="283"/>
    </w:pPr>
    <w:rPr>
      <w:rFonts w:eastAsia="MS Mincho"/>
    </w:rPr>
  </w:style>
  <w:style w:type="paragraph" w:styleId="58">
    <w:name w:val="List 3"/>
    <w:basedOn w:val="1"/>
    <w:uiPriority w:val="0"/>
    <w:pPr>
      <w:ind w:left="849" w:hanging="283"/>
    </w:pPr>
    <w:rPr>
      <w:rFonts w:eastAsia="MS Mincho"/>
    </w:rPr>
  </w:style>
  <w:style w:type="paragraph" w:styleId="59">
    <w:name w:val="List 4"/>
    <w:basedOn w:val="1"/>
    <w:uiPriority w:val="0"/>
    <w:pPr>
      <w:ind w:left="1132" w:hanging="283"/>
    </w:pPr>
    <w:rPr>
      <w:rFonts w:eastAsia="MS Mincho"/>
    </w:rPr>
  </w:style>
  <w:style w:type="paragraph" w:styleId="60">
    <w:name w:val="List 5"/>
    <w:basedOn w:val="1"/>
    <w:uiPriority w:val="0"/>
    <w:pPr>
      <w:ind w:left="1415" w:hanging="283"/>
    </w:pPr>
    <w:rPr>
      <w:rFonts w:eastAsia="MS Mincho"/>
    </w:rPr>
  </w:style>
  <w:style w:type="paragraph" w:styleId="61">
    <w:name w:val="List Bullet"/>
    <w:basedOn w:val="1"/>
    <w:autoRedefine/>
    <w:uiPriority w:val="0"/>
    <w:pPr>
      <w:numPr>
        <w:ilvl w:val="0"/>
        <w:numId w:val="1"/>
      </w:numPr>
    </w:pPr>
    <w:rPr>
      <w:rFonts w:eastAsia="MS Mincho"/>
    </w:rPr>
  </w:style>
  <w:style w:type="paragraph" w:styleId="62">
    <w:name w:val="List Bullet 2"/>
    <w:basedOn w:val="1"/>
    <w:autoRedefine/>
    <w:uiPriority w:val="0"/>
    <w:pPr>
      <w:numPr>
        <w:ilvl w:val="0"/>
        <w:numId w:val="2"/>
      </w:numPr>
    </w:pPr>
    <w:rPr>
      <w:rFonts w:eastAsia="MS Mincho"/>
    </w:rPr>
  </w:style>
  <w:style w:type="paragraph" w:styleId="63">
    <w:name w:val="List Bullet 3"/>
    <w:basedOn w:val="1"/>
    <w:autoRedefine/>
    <w:uiPriority w:val="0"/>
    <w:pPr>
      <w:numPr>
        <w:ilvl w:val="0"/>
        <w:numId w:val="3"/>
      </w:numPr>
    </w:pPr>
    <w:rPr>
      <w:rFonts w:eastAsia="MS Mincho"/>
    </w:rPr>
  </w:style>
  <w:style w:type="paragraph" w:styleId="64">
    <w:name w:val="List Bullet 4"/>
    <w:basedOn w:val="1"/>
    <w:autoRedefine/>
    <w:uiPriority w:val="0"/>
    <w:pPr>
      <w:numPr>
        <w:ilvl w:val="0"/>
        <w:numId w:val="4"/>
      </w:numPr>
    </w:pPr>
    <w:rPr>
      <w:rFonts w:eastAsia="MS Mincho"/>
    </w:rPr>
  </w:style>
  <w:style w:type="paragraph" w:styleId="65">
    <w:name w:val="List Bullet 5"/>
    <w:basedOn w:val="1"/>
    <w:autoRedefine/>
    <w:uiPriority w:val="0"/>
    <w:pPr>
      <w:numPr>
        <w:ilvl w:val="0"/>
        <w:numId w:val="5"/>
      </w:numPr>
    </w:pPr>
    <w:rPr>
      <w:rFonts w:eastAsia="MS Mincho"/>
    </w:rPr>
  </w:style>
  <w:style w:type="paragraph" w:styleId="66">
    <w:name w:val="List Continue"/>
    <w:basedOn w:val="1"/>
    <w:uiPriority w:val="0"/>
    <w:pPr>
      <w:spacing w:after="120"/>
      <w:ind w:left="283"/>
    </w:pPr>
    <w:rPr>
      <w:rFonts w:eastAsia="MS Mincho"/>
    </w:rPr>
  </w:style>
  <w:style w:type="paragraph" w:styleId="67">
    <w:name w:val="List Continue 2"/>
    <w:basedOn w:val="1"/>
    <w:uiPriority w:val="0"/>
    <w:pPr>
      <w:spacing w:after="120"/>
      <w:ind w:left="566"/>
    </w:pPr>
    <w:rPr>
      <w:rFonts w:eastAsia="MS Mincho"/>
    </w:rPr>
  </w:style>
  <w:style w:type="paragraph" w:styleId="68">
    <w:name w:val="List Continue 3"/>
    <w:basedOn w:val="1"/>
    <w:uiPriority w:val="0"/>
    <w:pPr>
      <w:spacing w:after="120"/>
      <w:ind w:left="849"/>
    </w:pPr>
    <w:rPr>
      <w:rFonts w:eastAsia="MS Mincho"/>
    </w:rPr>
  </w:style>
  <w:style w:type="paragraph" w:styleId="69">
    <w:name w:val="List Continue 4"/>
    <w:basedOn w:val="1"/>
    <w:uiPriority w:val="0"/>
    <w:pPr>
      <w:spacing w:after="120"/>
      <w:ind w:left="1132"/>
    </w:pPr>
    <w:rPr>
      <w:rFonts w:eastAsia="MS Mincho"/>
    </w:rPr>
  </w:style>
  <w:style w:type="paragraph" w:styleId="70">
    <w:name w:val="List Continue 5"/>
    <w:basedOn w:val="1"/>
    <w:uiPriority w:val="0"/>
    <w:pPr>
      <w:spacing w:after="120"/>
      <w:ind w:left="1415"/>
    </w:pPr>
    <w:rPr>
      <w:rFonts w:eastAsia="MS Mincho"/>
    </w:rPr>
  </w:style>
  <w:style w:type="paragraph" w:styleId="71">
    <w:name w:val="List Number"/>
    <w:basedOn w:val="1"/>
    <w:unhideWhenUsed/>
    <w:uiPriority w:val="99"/>
    <w:pPr>
      <w:numPr>
        <w:ilvl w:val="0"/>
        <w:numId w:val="6"/>
      </w:numPr>
      <w:contextualSpacing/>
    </w:pPr>
  </w:style>
  <w:style w:type="paragraph" w:styleId="72">
    <w:name w:val="List Number 2"/>
    <w:basedOn w:val="1"/>
    <w:uiPriority w:val="0"/>
    <w:pPr>
      <w:numPr>
        <w:ilvl w:val="0"/>
        <w:numId w:val="7"/>
      </w:numPr>
    </w:pPr>
    <w:rPr>
      <w:rFonts w:eastAsia="MS Mincho"/>
    </w:rPr>
  </w:style>
  <w:style w:type="paragraph" w:styleId="73">
    <w:name w:val="List Number 3"/>
    <w:basedOn w:val="1"/>
    <w:uiPriority w:val="0"/>
    <w:pPr>
      <w:numPr>
        <w:ilvl w:val="0"/>
        <w:numId w:val="8"/>
      </w:numPr>
    </w:pPr>
    <w:rPr>
      <w:rFonts w:eastAsia="MS Mincho"/>
    </w:rPr>
  </w:style>
  <w:style w:type="paragraph" w:styleId="74">
    <w:name w:val="List Number 4"/>
    <w:basedOn w:val="1"/>
    <w:uiPriority w:val="0"/>
    <w:pPr>
      <w:numPr>
        <w:ilvl w:val="0"/>
        <w:numId w:val="9"/>
      </w:numPr>
    </w:pPr>
    <w:rPr>
      <w:rFonts w:eastAsia="MS Mincho"/>
    </w:rPr>
  </w:style>
  <w:style w:type="paragraph" w:styleId="75">
    <w:name w:val="List Number 5"/>
    <w:basedOn w:val="1"/>
    <w:uiPriority w:val="0"/>
    <w:pPr>
      <w:tabs>
        <w:tab w:val="left" w:pos="1492"/>
      </w:tabs>
      <w:ind w:left="1492" w:hanging="360"/>
    </w:pPr>
    <w:rPr>
      <w:rFonts w:eastAsia="MS Mincho"/>
    </w:rPr>
  </w:style>
  <w:style w:type="paragraph" w:styleId="76">
    <w:name w:val="macro"/>
    <w:link w:val="179"/>
    <w:semiHidden/>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MS Mincho" w:cs="Times New Roman"/>
      <w:lang w:val="en-GB" w:eastAsia="it-IT" w:bidi="ar-SA"/>
    </w:rPr>
  </w:style>
  <w:style w:type="paragraph" w:styleId="77">
    <w:name w:val="Message Header"/>
    <w:basedOn w:val="1"/>
    <w:link w:val="180"/>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eastAsia="MS Mincho"/>
    </w:rPr>
  </w:style>
  <w:style w:type="paragraph" w:styleId="78">
    <w:name w:val="Normal (Web)"/>
    <w:basedOn w:val="1"/>
    <w:link w:val="120"/>
    <w:uiPriority w:val="0"/>
    <w:pPr>
      <w:spacing w:before="100" w:beforeAutospacing="1" w:after="100" w:afterAutospacing="1"/>
    </w:pPr>
    <w:rPr>
      <w:lang w:val="en-GB"/>
    </w:rPr>
  </w:style>
  <w:style w:type="paragraph" w:styleId="79">
    <w:name w:val="Normal Indent"/>
    <w:basedOn w:val="1"/>
    <w:uiPriority w:val="0"/>
    <w:pPr>
      <w:ind w:left="1304"/>
    </w:pPr>
    <w:rPr>
      <w:rFonts w:eastAsia="MS Mincho"/>
    </w:rPr>
  </w:style>
  <w:style w:type="paragraph" w:styleId="80">
    <w:name w:val="Note Heading"/>
    <w:basedOn w:val="1"/>
    <w:next w:val="1"/>
    <w:link w:val="181"/>
    <w:uiPriority w:val="0"/>
    <w:rPr>
      <w:rFonts w:eastAsia="MS Mincho"/>
    </w:rPr>
  </w:style>
  <w:style w:type="character" w:styleId="81">
    <w:name w:val="page number"/>
    <w:basedOn w:val="11"/>
    <w:uiPriority w:val="0"/>
  </w:style>
  <w:style w:type="paragraph" w:styleId="82">
    <w:name w:val="Plain Text"/>
    <w:basedOn w:val="1"/>
    <w:link w:val="182"/>
    <w:uiPriority w:val="0"/>
    <w:rPr>
      <w:rFonts w:ascii="Courier New" w:hAnsi="Courier New" w:eastAsia="MS Mincho"/>
      <w:sz w:val="20"/>
    </w:rPr>
  </w:style>
  <w:style w:type="paragraph" w:styleId="83">
    <w:name w:val="Salutation"/>
    <w:basedOn w:val="1"/>
    <w:next w:val="1"/>
    <w:link w:val="183"/>
    <w:uiPriority w:val="0"/>
    <w:rPr>
      <w:rFonts w:eastAsia="MS Mincho"/>
    </w:rPr>
  </w:style>
  <w:style w:type="character" w:styleId="84">
    <w:name w:val="Strong"/>
    <w:qFormat/>
    <w:uiPriority w:val="0"/>
    <w:rPr>
      <w:b/>
      <w:bCs/>
    </w:rPr>
  </w:style>
  <w:style w:type="paragraph" w:styleId="85">
    <w:name w:val="Subtitle"/>
    <w:basedOn w:val="1"/>
    <w:link w:val="101"/>
    <w:qFormat/>
    <w:uiPriority w:val="0"/>
    <w:pPr>
      <w:spacing w:after="60"/>
      <w:jc w:val="center"/>
      <w:outlineLvl w:val="1"/>
    </w:pPr>
    <w:rPr>
      <w:rFonts w:ascii="Arial" w:hAnsi="Arial"/>
      <w:lang w:val="en-GB"/>
    </w:rPr>
  </w:style>
  <w:style w:type="table" w:styleId="86">
    <w:name w:val="Table Grid"/>
    <w:basedOn w:val="12"/>
    <w:qFormat/>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7">
    <w:name w:val="table of authorities"/>
    <w:basedOn w:val="1"/>
    <w:next w:val="1"/>
    <w:semiHidden/>
    <w:uiPriority w:val="0"/>
    <w:pPr>
      <w:ind w:left="240" w:hanging="240"/>
    </w:pPr>
    <w:rPr>
      <w:rFonts w:eastAsia="MS Mincho"/>
    </w:rPr>
  </w:style>
  <w:style w:type="paragraph" w:styleId="88">
    <w:name w:val="table of figures"/>
    <w:basedOn w:val="1"/>
    <w:next w:val="1"/>
    <w:semiHidden/>
    <w:uiPriority w:val="0"/>
    <w:pPr>
      <w:ind w:left="480" w:hanging="480"/>
    </w:pPr>
    <w:rPr>
      <w:rFonts w:eastAsia="MS Mincho"/>
    </w:rPr>
  </w:style>
  <w:style w:type="paragraph" w:styleId="89">
    <w:name w:val="Title"/>
    <w:basedOn w:val="1"/>
    <w:link w:val="121"/>
    <w:qFormat/>
    <w:uiPriority w:val="0"/>
    <w:pPr>
      <w:spacing w:before="240" w:after="60"/>
      <w:jc w:val="center"/>
      <w:outlineLvl w:val="0"/>
    </w:pPr>
    <w:rPr>
      <w:rFonts w:ascii="Arial" w:hAnsi="Arial"/>
      <w:b/>
      <w:kern w:val="28"/>
      <w:sz w:val="32"/>
      <w:lang w:val="en-GB"/>
    </w:rPr>
  </w:style>
  <w:style w:type="paragraph" w:styleId="90">
    <w:name w:val="toa heading"/>
    <w:basedOn w:val="1"/>
    <w:next w:val="1"/>
    <w:semiHidden/>
    <w:uiPriority w:val="0"/>
    <w:pPr>
      <w:spacing w:before="120"/>
    </w:pPr>
    <w:rPr>
      <w:rFonts w:ascii="Arial" w:hAnsi="Arial" w:eastAsia="MS Mincho"/>
      <w:b/>
    </w:rPr>
  </w:style>
  <w:style w:type="paragraph" w:styleId="91">
    <w:name w:val="toc 1"/>
    <w:basedOn w:val="1"/>
    <w:next w:val="1"/>
    <w:qFormat/>
    <w:uiPriority w:val="39"/>
    <w:pPr>
      <w:keepLines/>
      <w:tabs>
        <w:tab w:val="right" w:leader="dot" w:pos="8640"/>
      </w:tabs>
      <w:spacing w:before="120" w:after="60"/>
      <w:ind w:left="482" w:right="720" w:hanging="482"/>
    </w:pPr>
    <w:rPr>
      <w:caps/>
      <w:sz w:val="22"/>
    </w:rPr>
  </w:style>
  <w:style w:type="paragraph" w:styleId="92">
    <w:name w:val="toc 2"/>
    <w:basedOn w:val="1"/>
    <w:next w:val="1"/>
    <w:autoRedefine/>
    <w:unhideWhenUsed/>
    <w:uiPriority w:val="39"/>
    <w:pPr>
      <w:ind w:left="240"/>
    </w:pPr>
  </w:style>
  <w:style w:type="paragraph" w:styleId="93">
    <w:name w:val="toc 3"/>
    <w:basedOn w:val="1"/>
    <w:next w:val="1"/>
    <w:autoRedefine/>
    <w:unhideWhenUsed/>
    <w:uiPriority w:val="39"/>
    <w:pPr>
      <w:ind w:left="480"/>
    </w:pPr>
  </w:style>
  <w:style w:type="paragraph" w:styleId="94">
    <w:name w:val="toc 4"/>
    <w:basedOn w:val="1"/>
    <w:next w:val="1"/>
    <w:autoRedefine/>
    <w:semiHidden/>
    <w:uiPriority w:val="0"/>
    <w:pPr>
      <w:tabs>
        <w:tab w:val="left" w:leader="dot" w:pos="8646"/>
        <w:tab w:val="right" w:pos="9072"/>
      </w:tabs>
      <w:ind w:left="2126" w:right="850"/>
    </w:pPr>
    <w:rPr>
      <w:rFonts w:eastAsia="MS Mincho"/>
      <w:sz w:val="20"/>
      <w:lang w:val="fr-FR"/>
    </w:rPr>
  </w:style>
  <w:style w:type="paragraph" w:styleId="95">
    <w:name w:val="toc 5"/>
    <w:basedOn w:val="1"/>
    <w:next w:val="1"/>
    <w:autoRedefine/>
    <w:semiHidden/>
    <w:uiPriority w:val="0"/>
    <w:pPr>
      <w:tabs>
        <w:tab w:val="left" w:leader="dot" w:pos="1440"/>
        <w:tab w:val="right" w:pos="9072"/>
      </w:tabs>
      <w:ind w:right="850"/>
    </w:pPr>
    <w:rPr>
      <w:rFonts w:eastAsia="MS Mincho"/>
      <w:sz w:val="20"/>
      <w:lang w:val="fr-FR"/>
    </w:rPr>
  </w:style>
  <w:style w:type="paragraph" w:styleId="96">
    <w:name w:val="toc 6"/>
    <w:basedOn w:val="1"/>
    <w:next w:val="1"/>
    <w:autoRedefine/>
    <w:semiHidden/>
    <w:uiPriority w:val="0"/>
    <w:pPr>
      <w:tabs>
        <w:tab w:val="left" w:leader="dot" w:pos="8646"/>
        <w:tab w:val="right" w:pos="9072"/>
      </w:tabs>
      <w:ind w:left="3544" w:right="850"/>
    </w:pPr>
    <w:rPr>
      <w:rFonts w:eastAsia="MS Mincho"/>
      <w:sz w:val="20"/>
      <w:lang w:val="fr-FR"/>
    </w:rPr>
  </w:style>
  <w:style w:type="paragraph" w:styleId="97">
    <w:name w:val="toc 7"/>
    <w:basedOn w:val="1"/>
    <w:next w:val="1"/>
    <w:autoRedefine/>
    <w:semiHidden/>
    <w:uiPriority w:val="0"/>
    <w:pPr>
      <w:tabs>
        <w:tab w:val="left" w:leader="dot" w:pos="8646"/>
        <w:tab w:val="right" w:pos="9072"/>
      </w:tabs>
      <w:ind w:left="4253" w:right="850"/>
    </w:pPr>
    <w:rPr>
      <w:rFonts w:eastAsia="MS Mincho"/>
      <w:sz w:val="20"/>
      <w:lang w:val="fr-FR"/>
    </w:rPr>
  </w:style>
  <w:style w:type="paragraph" w:styleId="98">
    <w:name w:val="toc 8"/>
    <w:basedOn w:val="1"/>
    <w:next w:val="1"/>
    <w:autoRedefine/>
    <w:semiHidden/>
    <w:uiPriority w:val="0"/>
    <w:pPr>
      <w:ind w:left="1680"/>
    </w:pPr>
    <w:rPr>
      <w:rFonts w:eastAsia="MS Mincho"/>
    </w:rPr>
  </w:style>
  <w:style w:type="paragraph" w:styleId="99">
    <w:name w:val="toc 9"/>
    <w:basedOn w:val="1"/>
    <w:next w:val="1"/>
    <w:autoRedefine/>
    <w:semiHidden/>
    <w:uiPriority w:val="0"/>
    <w:pPr>
      <w:ind w:left="1920"/>
    </w:pPr>
    <w:rPr>
      <w:rFonts w:eastAsia="MS Mincho"/>
    </w:rPr>
  </w:style>
  <w:style w:type="character" w:customStyle="1" w:styleId="100">
    <w:name w:val="Footnote Text Char"/>
    <w:link w:val="42"/>
    <w:qFormat/>
    <w:uiPriority w:val="0"/>
    <w:rPr>
      <w:rFonts w:ascii="Times New Roman" w:hAnsi="Times New Roman" w:eastAsia="Times New Roman" w:cs="Times New Roman"/>
      <w:sz w:val="20"/>
      <w:szCs w:val="20"/>
      <w:lang w:val="en-GB" w:eastAsia="it-IT"/>
    </w:rPr>
  </w:style>
  <w:style w:type="character" w:customStyle="1" w:styleId="101">
    <w:name w:val="Subtitle Char"/>
    <w:link w:val="85"/>
    <w:uiPriority w:val="0"/>
    <w:rPr>
      <w:rFonts w:ascii="Arial" w:hAnsi="Arial" w:eastAsia="Times New Roman" w:cs="Times New Roman"/>
      <w:sz w:val="24"/>
      <w:szCs w:val="20"/>
      <w:lang w:val="en-GB" w:eastAsia="it-IT"/>
    </w:rPr>
  </w:style>
  <w:style w:type="paragraph" w:customStyle="1" w:styleId="102">
    <w:name w:val="NORMAL£"/>
    <w:basedOn w:val="1"/>
    <w:qFormat/>
    <w:uiPriority w:val="0"/>
    <w:pPr>
      <w:tabs>
        <w:tab w:val="left" w:pos="709"/>
      </w:tabs>
      <w:spacing w:after="0"/>
      <w:ind w:left="705" w:hanging="705"/>
    </w:pPr>
    <w:rPr>
      <w:b/>
      <w:sz w:val="20"/>
    </w:rPr>
  </w:style>
  <w:style w:type="character" w:customStyle="1" w:styleId="103">
    <w:name w:val="Header Char"/>
    <w:link w:val="43"/>
    <w:uiPriority w:val="0"/>
    <w:rPr>
      <w:rFonts w:ascii="Times New Roman" w:hAnsi="Times New Roman" w:eastAsia="Times New Roman"/>
      <w:sz w:val="24"/>
      <w:lang w:val="en-GB" w:eastAsia="it-IT"/>
    </w:rPr>
  </w:style>
  <w:style w:type="character" w:customStyle="1" w:styleId="104">
    <w:name w:val="Footer Char"/>
    <w:link w:val="40"/>
    <w:uiPriority w:val="99"/>
    <w:rPr>
      <w:rFonts w:ascii="Times New Roman" w:hAnsi="Times New Roman" w:eastAsia="Times New Roman"/>
      <w:sz w:val="24"/>
      <w:lang w:val="en-GB" w:eastAsia="it-IT"/>
    </w:rPr>
  </w:style>
  <w:style w:type="character" w:customStyle="1" w:styleId="105">
    <w:name w:val="Balloon Text Char"/>
    <w:link w:val="13"/>
    <w:semiHidden/>
    <w:qFormat/>
    <w:uiPriority w:val="99"/>
    <w:rPr>
      <w:rFonts w:ascii="Tahoma" w:hAnsi="Tahoma" w:eastAsia="Times New Roman" w:cs="Tahoma"/>
      <w:sz w:val="16"/>
      <w:szCs w:val="16"/>
      <w:lang w:val="en-GB" w:eastAsia="it-IT"/>
    </w:rPr>
  </w:style>
  <w:style w:type="character" w:customStyle="1" w:styleId="106">
    <w:name w:val="Heading 1 Char"/>
    <w:link w:val="2"/>
    <w:qFormat/>
    <w:uiPriority w:val="0"/>
    <w:rPr>
      <w:rFonts w:ascii="Cambria" w:hAnsi="Cambria" w:eastAsia="Times New Roman" w:cs="Times New Roman"/>
      <w:b/>
      <w:bCs/>
      <w:kern w:val="32"/>
      <w:sz w:val="32"/>
      <w:szCs w:val="32"/>
      <w:lang w:val="en-GB" w:eastAsia="it-IT"/>
    </w:rPr>
  </w:style>
  <w:style w:type="character" w:customStyle="1" w:styleId="107">
    <w:name w:val="Heading 2 Char"/>
    <w:link w:val="3"/>
    <w:qFormat/>
    <w:uiPriority w:val="9"/>
    <w:rPr>
      <w:rFonts w:ascii="Cambria" w:hAnsi="Cambria" w:eastAsia="Times New Roman" w:cs="Times New Roman"/>
      <w:b/>
      <w:bCs/>
      <w:i/>
      <w:iCs/>
      <w:sz w:val="28"/>
      <w:szCs w:val="28"/>
      <w:lang w:val="en-GB" w:eastAsia="it-IT"/>
    </w:rPr>
  </w:style>
  <w:style w:type="character" w:customStyle="1" w:styleId="108">
    <w:name w:val="Heading 3 Char"/>
    <w:link w:val="4"/>
    <w:uiPriority w:val="9"/>
    <w:rPr>
      <w:rFonts w:ascii="Cambria" w:hAnsi="Cambria" w:eastAsia="Times New Roman" w:cs="Times New Roman"/>
      <w:b/>
      <w:bCs/>
      <w:color w:val="4F81BD"/>
      <w:sz w:val="22"/>
      <w:szCs w:val="22"/>
      <w:lang w:val="sq-AL"/>
    </w:rPr>
  </w:style>
  <w:style w:type="paragraph" w:customStyle="1" w:styleId="109">
    <w:name w:val="Sub-Clause Text"/>
    <w:basedOn w:val="1"/>
    <w:qFormat/>
    <w:uiPriority w:val="0"/>
    <w:pPr>
      <w:spacing w:before="120" w:after="120"/>
    </w:pPr>
    <w:rPr>
      <w:spacing w:val="-4"/>
      <w:lang w:val="en-US" w:eastAsia="en-US"/>
    </w:rPr>
  </w:style>
  <w:style w:type="character" w:customStyle="1" w:styleId="110">
    <w:name w:val="Body Text 2 Char"/>
    <w:link w:val="16"/>
    <w:qFormat/>
    <w:uiPriority w:val="0"/>
    <w:rPr>
      <w:rFonts w:ascii="Times New Roman" w:hAnsi="Times New Roman" w:eastAsia="Times New Roman"/>
      <w:b/>
      <w:sz w:val="28"/>
    </w:rPr>
  </w:style>
  <w:style w:type="paragraph" w:customStyle="1" w:styleId="111">
    <w:name w:val="Heading 1- Clause name"/>
    <w:basedOn w:val="1"/>
    <w:qFormat/>
    <w:uiPriority w:val="0"/>
    <w:pPr>
      <w:tabs>
        <w:tab w:val="left" w:pos="360"/>
      </w:tabs>
      <w:spacing w:before="120" w:after="120"/>
      <w:ind w:left="360" w:hanging="360"/>
      <w:jc w:val="left"/>
    </w:pPr>
    <w:rPr>
      <w:b/>
      <w:lang w:val="en-US" w:eastAsia="en-US"/>
    </w:rPr>
  </w:style>
  <w:style w:type="paragraph" w:customStyle="1" w:styleId="112">
    <w:name w:val="Sec1-Clauses"/>
    <w:basedOn w:val="111"/>
    <w:qFormat/>
    <w:uiPriority w:val="0"/>
  </w:style>
  <w:style w:type="paragraph" w:customStyle="1" w:styleId="113">
    <w:name w:val="(i)"/>
    <w:basedOn w:val="1"/>
    <w:qFormat/>
    <w:uiPriority w:val="0"/>
    <w:pPr>
      <w:suppressAutoHyphens/>
      <w:spacing w:after="0"/>
    </w:pPr>
    <w:rPr>
      <w:rFonts w:ascii="Tms Rmn" w:hAnsi="Tms Rmn"/>
      <w:lang w:val="en-US" w:eastAsia="en-US"/>
    </w:rPr>
  </w:style>
  <w:style w:type="paragraph" w:styleId="114">
    <w:name w:val="List Paragraph"/>
    <w:basedOn w:val="1"/>
    <w:link w:val="214"/>
    <w:qFormat/>
    <w:uiPriority w:val="34"/>
    <w:pPr>
      <w:spacing w:after="0"/>
      <w:ind w:left="720"/>
      <w:contextualSpacing/>
    </w:pPr>
    <w:rPr>
      <w:rFonts w:ascii="Calibri" w:hAnsi="Calibri" w:eastAsia="Calibri"/>
      <w:sz w:val="22"/>
      <w:szCs w:val="22"/>
      <w:lang w:eastAsia="en-US"/>
    </w:rPr>
  </w:style>
  <w:style w:type="paragraph" w:customStyle="1" w:styleId="115">
    <w:name w:val="Text 1"/>
    <w:basedOn w:val="1"/>
    <w:qFormat/>
    <w:uiPriority w:val="0"/>
    <w:pPr>
      <w:ind w:left="483"/>
    </w:pPr>
  </w:style>
  <w:style w:type="paragraph" w:customStyle="1" w:styleId="116">
    <w:name w:val="Rub3"/>
    <w:basedOn w:val="1"/>
    <w:next w:val="1"/>
    <w:uiPriority w:val="0"/>
    <w:pPr>
      <w:tabs>
        <w:tab w:val="left" w:pos="709"/>
      </w:tabs>
      <w:spacing w:after="0"/>
    </w:pPr>
    <w:rPr>
      <w:b/>
      <w:i/>
      <w:sz w:val="20"/>
    </w:rPr>
  </w:style>
  <w:style w:type="character" w:customStyle="1" w:styleId="117">
    <w:name w:val="Body Text Char"/>
    <w:link w:val="15"/>
    <w:uiPriority w:val="0"/>
    <w:rPr>
      <w:rFonts w:ascii="Times New Roman" w:hAnsi="Times New Roman" w:eastAsia="Times New Roman"/>
      <w:sz w:val="24"/>
      <w:lang w:val="en-GB" w:eastAsia="it-IT"/>
    </w:rPr>
  </w:style>
  <w:style w:type="paragraph" w:customStyle="1" w:styleId="118">
    <w:name w:val="TOC Number1"/>
    <w:basedOn w:val="5"/>
    <w:next w:val="16"/>
    <w:autoRedefine/>
    <w:uiPriority w:val="0"/>
    <w:pPr>
      <w:keepLines/>
      <w:spacing w:before="120" w:after="120"/>
      <w:jc w:val="left"/>
      <w:outlineLvl w:val="9"/>
    </w:pPr>
    <w:rPr>
      <w:rFonts w:ascii="Times New Roman" w:hAnsi="Times New Roman"/>
      <w:bCs w:val="0"/>
      <w:sz w:val="24"/>
      <w:szCs w:val="20"/>
      <w:lang w:val="en-US" w:eastAsia="en-US"/>
    </w:rPr>
  </w:style>
  <w:style w:type="character" w:customStyle="1" w:styleId="119">
    <w:name w:val="Heading 4 Char"/>
    <w:link w:val="5"/>
    <w:uiPriority w:val="9"/>
    <w:rPr>
      <w:rFonts w:ascii="Calibri" w:hAnsi="Calibri" w:eastAsia="Times New Roman" w:cs="Times New Roman"/>
      <w:b/>
      <w:bCs/>
      <w:sz w:val="28"/>
      <w:szCs w:val="28"/>
      <w:lang w:val="en-GB" w:eastAsia="it-IT"/>
    </w:rPr>
  </w:style>
  <w:style w:type="character" w:customStyle="1" w:styleId="120">
    <w:name w:val="Normal (Web) Char"/>
    <w:link w:val="78"/>
    <w:qFormat/>
    <w:uiPriority w:val="0"/>
    <w:rPr>
      <w:rFonts w:ascii="Times New Roman" w:hAnsi="Times New Roman" w:eastAsia="Times New Roman"/>
      <w:sz w:val="24"/>
      <w:lang w:val="en-GB"/>
    </w:rPr>
  </w:style>
  <w:style w:type="character" w:customStyle="1" w:styleId="121">
    <w:name w:val="Title Char"/>
    <w:link w:val="89"/>
    <w:uiPriority w:val="0"/>
    <w:rPr>
      <w:rFonts w:ascii="Arial" w:hAnsi="Arial" w:eastAsia="Times New Roman"/>
      <w:b/>
      <w:kern w:val="28"/>
      <w:sz w:val="32"/>
      <w:lang w:val="en-GB" w:eastAsia="it-IT"/>
    </w:rPr>
  </w:style>
  <w:style w:type="character" w:customStyle="1" w:styleId="122">
    <w:name w:val="Heading 5 Char"/>
    <w:link w:val="6"/>
    <w:uiPriority w:val="9"/>
    <w:rPr>
      <w:rFonts w:ascii="Cambria" w:hAnsi="Cambria" w:eastAsia="Times New Roman" w:cs="Times New Roman"/>
      <w:color w:val="243F60"/>
      <w:sz w:val="22"/>
      <w:szCs w:val="22"/>
      <w:lang w:val="sq-AL"/>
    </w:rPr>
  </w:style>
  <w:style w:type="paragraph" w:customStyle="1" w:styleId="123">
    <w:name w:val="Default"/>
    <w:uiPriority w:val="0"/>
    <w:pPr>
      <w:autoSpaceDE w:val="0"/>
      <w:autoSpaceDN w:val="0"/>
      <w:adjustRightInd w:val="0"/>
      <w:ind w:right="-403"/>
    </w:pPr>
    <w:rPr>
      <w:rFonts w:ascii="TimesNewRoman" w:hAnsi="TimesNewRoman" w:eastAsia="Times New Roman" w:cs="TimesNewRoman"/>
      <w:lang w:val="it-IT" w:eastAsia="it-IT" w:bidi="ar-SA"/>
    </w:rPr>
  </w:style>
  <w:style w:type="paragraph" w:customStyle="1" w:styleId="124">
    <w:name w:val="GCCDefBulletted"/>
    <w:basedOn w:val="1"/>
    <w:uiPriority w:val="99"/>
    <w:pPr>
      <w:numPr>
        <w:ilvl w:val="0"/>
        <w:numId w:val="10"/>
      </w:numPr>
      <w:tabs>
        <w:tab w:val="left" w:pos="1276"/>
      </w:tabs>
      <w:spacing w:after="60"/>
      <w:ind w:left="1276"/>
      <w:jc w:val="left"/>
    </w:pPr>
    <w:rPr>
      <w:szCs w:val="24"/>
      <w:lang w:eastAsia="en-US"/>
    </w:rPr>
  </w:style>
  <w:style w:type="paragraph" w:customStyle="1" w:styleId="125">
    <w:name w:val="GCC1.1Text Char Char Char Char Char Char Char Char Char"/>
    <w:uiPriority w:val="99"/>
    <w:pPr>
      <w:tabs>
        <w:tab w:val="left" w:pos="709"/>
      </w:tabs>
      <w:spacing w:after="60"/>
      <w:ind w:left="709" w:hanging="709"/>
    </w:pPr>
    <w:rPr>
      <w:rFonts w:ascii="Times New Roman" w:hAnsi="Times New Roman" w:eastAsia="Times New Roman" w:cs="Times New Roman"/>
      <w:sz w:val="24"/>
      <w:szCs w:val="24"/>
      <w:lang w:val="en-GB" w:eastAsia="en-US" w:bidi="ar-SA"/>
    </w:rPr>
  </w:style>
  <w:style w:type="character" w:customStyle="1" w:styleId="126">
    <w:name w:val="hps"/>
    <w:uiPriority w:val="0"/>
  </w:style>
  <w:style w:type="character" w:customStyle="1" w:styleId="127">
    <w:name w:val="short_text"/>
    <w:basedOn w:val="11"/>
    <w:uiPriority w:val="0"/>
  </w:style>
  <w:style w:type="character" w:customStyle="1" w:styleId="128">
    <w:name w:val="long_text"/>
    <w:basedOn w:val="11"/>
    <w:uiPriority w:val="0"/>
  </w:style>
  <w:style w:type="paragraph" w:styleId="129">
    <w:name w:val="No Spacing"/>
    <w:qFormat/>
    <w:uiPriority w:val="1"/>
    <w:pPr>
      <w:jc w:val="both"/>
    </w:pPr>
    <w:rPr>
      <w:rFonts w:ascii="Times New Roman" w:hAnsi="Times New Roman" w:eastAsia="Times New Roman" w:cs="Times New Roman"/>
      <w:sz w:val="24"/>
      <w:lang w:val="sq-AL" w:eastAsia="it-IT" w:bidi="ar-SA"/>
    </w:rPr>
  </w:style>
  <w:style w:type="paragraph" w:customStyle="1" w:styleId="130">
    <w:name w:val="Char Char Char"/>
    <w:basedOn w:val="1"/>
    <w:uiPriority w:val="0"/>
    <w:pPr>
      <w:spacing w:after="160" w:line="240" w:lineRule="exact"/>
      <w:jc w:val="left"/>
    </w:pPr>
    <w:rPr>
      <w:rFonts w:ascii="Tahoma" w:hAnsi="Tahoma"/>
      <w:sz w:val="20"/>
      <w:lang w:eastAsia="en-US"/>
    </w:rPr>
  </w:style>
  <w:style w:type="character" w:customStyle="1" w:styleId="131">
    <w:name w:val="Heading 6 Char"/>
    <w:basedOn w:val="11"/>
    <w:link w:val="7"/>
    <w:uiPriority w:val="0"/>
    <w:rPr>
      <w:rFonts w:ascii="Times New Roman" w:hAnsi="Times New Roman" w:eastAsia="MS Mincho"/>
      <w:i/>
      <w:sz w:val="22"/>
      <w:lang w:val="sq-AL" w:eastAsia="it-IT"/>
    </w:rPr>
  </w:style>
  <w:style w:type="character" w:customStyle="1" w:styleId="132">
    <w:name w:val="Heading 7 Char"/>
    <w:basedOn w:val="11"/>
    <w:link w:val="8"/>
    <w:uiPriority w:val="0"/>
    <w:rPr>
      <w:rFonts w:ascii="Arial" w:hAnsi="Arial" w:eastAsia="MS Mincho"/>
      <w:lang w:val="sq-AL" w:eastAsia="it-IT"/>
    </w:rPr>
  </w:style>
  <w:style w:type="character" w:customStyle="1" w:styleId="133">
    <w:name w:val="Heading 8 Char"/>
    <w:basedOn w:val="11"/>
    <w:link w:val="9"/>
    <w:qFormat/>
    <w:uiPriority w:val="0"/>
    <w:rPr>
      <w:rFonts w:ascii="Arial" w:hAnsi="Arial" w:eastAsia="MS Mincho"/>
      <w:i/>
      <w:lang w:val="sq-AL" w:eastAsia="it-IT"/>
    </w:rPr>
  </w:style>
  <w:style w:type="character" w:customStyle="1" w:styleId="134">
    <w:name w:val="Heading 9 Char"/>
    <w:basedOn w:val="11"/>
    <w:link w:val="10"/>
    <w:uiPriority w:val="0"/>
    <w:rPr>
      <w:rFonts w:ascii="Arial" w:hAnsi="Arial" w:eastAsia="MS Mincho"/>
      <w:b/>
      <w:i/>
      <w:sz w:val="18"/>
      <w:lang w:val="sq-AL" w:eastAsia="it-IT"/>
    </w:rPr>
  </w:style>
  <w:style w:type="character" w:customStyle="1" w:styleId="135">
    <w:name w:val="fullpost"/>
    <w:basedOn w:val="11"/>
    <w:uiPriority w:val="0"/>
  </w:style>
  <w:style w:type="paragraph" w:customStyle="1" w:styleId="136">
    <w:name w:val="Text 2"/>
    <w:basedOn w:val="1"/>
    <w:uiPriority w:val="0"/>
    <w:pPr>
      <w:tabs>
        <w:tab w:val="left" w:pos="2161"/>
      </w:tabs>
      <w:ind w:left="1077"/>
    </w:pPr>
    <w:rPr>
      <w:rFonts w:eastAsia="MS Mincho"/>
    </w:rPr>
  </w:style>
  <w:style w:type="paragraph" w:customStyle="1" w:styleId="137">
    <w:name w:val="Text 3"/>
    <w:basedOn w:val="1"/>
    <w:uiPriority w:val="0"/>
    <w:pPr>
      <w:tabs>
        <w:tab w:val="left" w:pos="2302"/>
      </w:tabs>
      <w:ind w:left="1917"/>
    </w:pPr>
    <w:rPr>
      <w:rFonts w:eastAsia="MS Mincho"/>
    </w:rPr>
  </w:style>
  <w:style w:type="character" w:customStyle="1" w:styleId="138">
    <w:name w:val="Comment Text Char"/>
    <w:basedOn w:val="11"/>
    <w:link w:val="29"/>
    <w:semiHidden/>
    <w:uiPriority w:val="0"/>
    <w:rPr>
      <w:rFonts w:ascii="Times New Roman" w:hAnsi="Times New Roman" w:eastAsia="MS Mincho"/>
      <w:lang w:val="sq-AL" w:eastAsia="it-IT"/>
    </w:rPr>
  </w:style>
  <w:style w:type="paragraph" w:customStyle="1" w:styleId="139">
    <w:name w:val="Date1"/>
    <w:basedOn w:val="1"/>
    <w:next w:val="140"/>
    <w:uiPriority w:val="0"/>
    <w:pPr>
      <w:spacing w:after="0"/>
      <w:ind w:left="5103"/>
      <w:jc w:val="left"/>
    </w:pPr>
    <w:rPr>
      <w:rFonts w:eastAsia="MS Mincho"/>
    </w:rPr>
  </w:style>
  <w:style w:type="paragraph" w:customStyle="1" w:styleId="140">
    <w:name w:val="References"/>
    <w:basedOn w:val="1"/>
    <w:next w:val="141"/>
    <w:uiPriority w:val="0"/>
    <w:pPr>
      <w:ind w:left="5103"/>
      <w:jc w:val="left"/>
    </w:pPr>
    <w:rPr>
      <w:rFonts w:eastAsia="MS Mincho"/>
      <w:sz w:val="20"/>
    </w:rPr>
  </w:style>
  <w:style w:type="paragraph" w:customStyle="1" w:styleId="141">
    <w:name w:val="AddressTR"/>
    <w:basedOn w:val="1"/>
    <w:next w:val="1"/>
    <w:uiPriority w:val="0"/>
    <w:pPr>
      <w:spacing w:after="720"/>
      <w:ind w:left="5103"/>
      <w:jc w:val="left"/>
    </w:pPr>
    <w:rPr>
      <w:rFonts w:eastAsia="MS Mincho"/>
    </w:rPr>
  </w:style>
  <w:style w:type="paragraph" w:customStyle="1" w:styleId="142">
    <w:name w:val="Address"/>
    <w:basedOn w:val="1"/>
    <w:uiPriority w:val="0"/>
    <w:pPr>
      <w:spacing w:after="0"/>
      <w:jc w:val="left"/>
    </w:pPr>
    <w:rPr>
      <w:rFonts w:eastAsia="MS Mincho"/>
    </w:rPr>
  </w:style>
  <w:style w:type="paragraph" w:customStyle="1" w:styleId="143">
    <w:name w:val="NoteHead"/>
    <w:basedOn w:val="1"/>
    <w:next w:val="144"/>
    <w:uiPriority w:val="0"/>
    <w:pPr>
      <w:spacing w:before="720" w:after="720"/>
      <w:jc w:val="center"/>
    </w:pPr>
    <w:rPr>
      <w:rFonts w:eastAsia="MS Mincho"/>
      <w:b/>
      <w:smallCaps/>
    </w:rPr>
  </w:style>
  <w:style w:type="paragraph" w:customStyle="1" w:styleId="144">
    <w:name w:val="Subject"/>
    <w:basedOn w:val="1"/>
    <w:next w:val="1"/>
    <w:uiPriority w:val="0"/>
    <w:pPr>
      <w:spacing w:after="480"/>
      <w:ind w:left="1191" w:hanging="1191"/>
      <w:jc w:val="left"/>
    </w:pPr>
    <w:rPr>
      <w:rFonts w:eastAsia="MS Mincho"/>
      <w:b/>
    </w:rPr>
  </w:style>
  <w:style w:type="paragraph" w:customStyle="1" w:styleId="145">
    <w:name w:val="NumPar 1"/>
    <w:basedOn w:val="1"/>
    <w:next w:val="115"/>
    <w:uiPriority w:val="0"/>
    <w:pPr>
      <w:ind w:left="483" w:hanging="483"/>
    </w:pPr>
    <w:rPr>
      <w:rFonts w:eastAsia="MS Mincho"/>
    </w:rPr>
  </w:style>
  <w:style w:type="paragraph" w:customStyle="1" w:styleId="146">
    <w:name w:val="NoteList"/>
    <w:basedOn w:val="1"/>
    <w:next w:val="144"/>
    <w:uiPriority w:val="0"/>
    <w:pPr>
      <w:tabs>
        <w:tab w:val="left" w:pos="5954"/>
      </w:tabs>
      <w:spacing w:before="720" w:after="720"/>
      <w:ind w:left="5245" w:hanging="3261"/>
      <w:jc w:val="left"/>
    </w:pPr>
    <w:rPr>
      <w:rFonts w:eastAsia="MS Mincho"/>
      <w:b/>
      <w:smallCaps/>
    </w:rPr>
  </w:style>
  <w:style w:type="paragraph" w:customStyle="1" w:styleId="147">
    <w:name w:val="NumPar 2"/>
    <w:basedOn w:val="1"/>
    <w:next w:val="136"/>
    <w:uiPriority w:val="0"/>
    <w:pPr>
      <w:ind w:left="1077" w:hanging="601"/>
    </w:pPr>
    <w:rPr>
      <w:rFonts w:eastAsia="MS Mincho"/>
    </w:rPr>
  </w:style>
  <w:style w:type="paragraph" w:customStyle="1" w:styleId="148">
    <w:name w:val="NumPar 3"/>
    <w:basedOn w:val="1"/>
    <w:next w:val="137"/>
    <w:uiPriority w:val="0"/>
    <w:pPr>
      <w:ind w:left="1917" w:hanging="840"/>
    </w:pPr>
    <w:rPr>
      <w:rFonts w:eastAsia="MS Mincho"/>
    </w:rPr>
  </w:style>
  <w:style w:type="paragraph" w:customStyle="1" w:styleId="149">
    <w:name w:val="Dash 1"/>
    <w:basedOn w:val="1"/>
    <w:uiPriority w:val="0"/>
    <w:pPr>
      <w:ind w:left="720" w:hanging="238"/>
    </w:pPr>
    <w:rPr>
      <w:rFonts w:eastAsia="MS Mincho"/>
    </w:rPr>
  </w:style>
  <w:style w:type="paragraph" w:customStyle="1" w:styleId="150">
    <w:name w:val="Dash 2"/>
    <w:basedOn w:val="1"/>
    <w:uiPriority w:val="0"/>
    <w:pPr>
      <w:ind w:left="1315" w:hanging="238"/>
    </w:pPr>
    <w:rPr>
      <w:rFonts w:eastAsia="MS Mincho"/>
    </w:rPr>
  </w:style>
  <w:style w:type="paragraph" w:customStyle="1" w:styleId="151">
    <w:name w:val="Dash 3"/>
    <w:basedOn w:val="1"/>
    <w:uiPriority w:val="0"/>
    <w:pPr>
      <w:ind w:left="2161" w:hanging="238"/>
    </w:pPr>
    <w:rPr>
      <w:rFonts w:eastAsia="MS Mincho"/>
    </w:rPr>
  </w:style>
  <w:style w:type="paragraph" w:customStyle="1" w:styleId="152">
    <w:name w:val="Alpha 1"/>
    <w:basedOn w:val="1"/>
    <w:uiPriority w:val="0"/>
    <w:pPr>
      <w:ind w:left="840" w:hanging="357"/>
    </w:pPr>
    <w:rPr>
      <w:rFonts w:eastAsia="MS Mincho"/>
    </w:rPr>
  </w:style>
  <w:style w:type="paragraph" w:customStyle="1" w:styleId="153">
    <w:name w:val="Alpha 2"/>
    <w:basedOn w:val="1"/>
    <w:uiPriority w:val="0"/>
    <w:pPr>
      <w:ind w:left="1435" w:hanging="357"/>
    </w:pPr>
    <w:rPr>
      <w:rFonts w:eastAsia="MS Mincho"/>
    </w:rPr>
  </w:style>
  <w:style w:type="paragraph" w:customStyle="1" w:styleId="154">
    <w:name w:val="Alpha 3"/>
    <w:basedOn w:val="1"/>
    <w:uiPriority w:val="0"/>
    <w:pPr>
      <w:ind w:left="2279" w:hanging="357"/>
    </w:pPr>
    <w:rPr>
      <w:rFonts w:eastAsia="MS Mincho"/>
    </w:rPr>
  </w:style>
  <w:style w:type="paragraph" w:customStyle="1" w:styleId="155">
    <w:name w:val="FirstDash"/>
    <w:basedOn w:val="1"/>
    <w:uiPriority w:val="0"/>
    <w:pPr>
      <w:ind w:left="238" w:hanging="238"/>
    </w:pPr>
    <w:rPr>
      <w:rFonts w:eastAsia="MS Mincho"/>
    </w:rPr>
  </w:style>
  <w:style w:type="character" w:customStyle="1" w:styleId="156">
    <w:name w:val="Closing Char"/>
    <w:basedOn w:val="11"/>
    <w:link w:val="24"/>
    <w:uiPriority w:val="0"/>
    <w:rPr>
      <w:rFonts w:ascii="Times New Roman" w:hAnsi="Times New Roman" w:eastAsia="MS Mincho"/>
      <w:sz w:val="24"/>
      <w:lang w:val="sq-AL" w:eastAsia="it-IT"/>
    </w:rPr>
  </w:style>
  <w:style w:type="character" w:customStyle="1" w:styleId="157">
    <w:name w:val="Signature Char"/>
    <w:basedOn w:val="11"/>
    <w:link w:val="25"/>
    <w:uiPriority w:val="0"/>
    <w:rPr>
      <w:rFonts w:ascii="Times New Roman" w:hAnsi="Times New Roman" w:eastAsia="MS Mincho"/>
      <w:sz w:val="24"/>
      <w:lang w:val="sq-AL" w:eastAsia="it-IT"/>
    </w:rPr>
  </w:style>
  <w:style w:type="paragraph" w:customStyle="1" w:styleId="158">
    <w:name w:val="DoubSign"/>
    <w:basedOn w:val="1"/>
    <w:next w:val="26"/>
    <w:uiPriority w:val="0"/>
    <w:pPr>
      <w:tabs>
        <w:tab w:val="left" w:pos="5103"/>
      </w:tabs>
      <w:spacing w:before="1200" w:after="0"/>
      <w:jc w:val="left"/>
    </w:pPr>
    <w:rPr>
      <w:rFonts w:eastAsia="MS Mincho"/>
    </w:rPr>
  </w:style>
  <w:style w:type="paragraph" w:customStyle="1" w:styleId="159">
    <w:name w:val="Participants"/>
    <w:basedOn w:val="1"/>
    <w:next w:val="27"/>
    <w:uiPriority w:val="0"/>
    <w:pPr>
      <w:tabs>
        <w:tab w:val="left" w:pos="2161"/>
        <w:tab w:val="left" w:pos="2762"/>
        <w:tab w:val="left" w:pos="5642"/>
        <w:tab w:val="left" w:pos="6720"/>
      </w:tabs>
      <w:spacing w:before="480" w:after="0"/>
      <w:ind w:left="1792" w:hanging="1792"/>
      <w:jc w:val="left"/>
    </w:pPr>
    <w:rPr>
      <w:rFonts w:eastAsia="MS Mincho"/>
    </w:rPr>
  </w:style>
  <w:style w:type="paragraph" w:customStyle="1" w:styleId="160">
    <w:name w:val="Logo"/>
    <w:basedOn w:val="1"/>
    <w:uiPriority w:val="0"/>
    <w:pPr>
      <w:spacing w:after="0"/>
      <w:jc w:val="left"/>
    </w:pPr>
    <w:rPr>
      <w:rFonts w:eastAsia="MS Mincho"/>
    </w:rPr>
  </w:style>
  <w:style w:type="paragraph" w:customStyle="1" w:styleId="161">
    <w:name w:val="Z_DG"/>
    <w:basedOn w:val="160"/>
    <w:uiPriority w:val="0"/>
    <w:rPr>
      <w:rFonts w:ascii="Arial" w:hAnsi="Arial"/>
      <w:sz w:val="16"/>
      <w:lang w:val="fr-FR"/>
    </w:rPr>
  </w:style>
  <w:style w:type="paragraph" w:customStyle="1" w:styleId="162">
    <w:name w:val="Z_D"/>
    <w:basedOn w:val="160"/>
    <w:uiPriority w:val="0"/>
    <w:rPr>
      <w:rFonts w:ascii="Arial" w:hAnsi="Arial"/>
      <w:sz w:val="16"/>
      <w:lang w:val="fr-FR"/>
    </w:rPr>
  </w:style>
  <w:style w:type="paragraph" w:customStyle="1" w:styleId="163">
    <w:name w:val="Z_U"/>
    <w:basedOn w:val="160"/>
    <w:uiPriority w:val="0"/>
    <w:rPr>
      <w:rFonts w:ascii="Arial" w:hAnsi="Arial"/>
      <w:b/>
      <w:sz w:val="16"/>
      <w:lang w:val="fr-FR"/>
    </w:rPr>
  </w:style>
  <w:style w:type="paragraph" w:customStyle="1" w:styleId="164">
    <w:name w:val="AddressTL"/>
    <w:basedOn w:val="1"/>
    <w:next w:val="1"/>
    <w:uiPriority w:val="0"/>
    <w:pPr>
      <w:spacing w:after="720"/>
      <w:jc w:val="left"/>
    </w:pPr>
    <w:rPr>
      <w:rFonts w:eastAsia="MS Mincho"/>
    </w:rPr>
  </w:style>
  <w:style w:type="paragraph" w:customStyle="1" w:styleId="165">
    <w:name w:val="YReferences"/>
    <w:basedOn w:val="1"/>
    <w:next w:val="1"/>
    <w:uiPriority w:val="0"/>
    <w:pPr>
      <w:spacing w:after="480"/>
      <w:ind w:left="1191" w:hanging="1191"/>
    </w:pPr>
    <w:rPr>
      <w:rFonts w:eastAsia="MS Mincho"/>
    </w:rPr>
  </w:style>
  <w:style w:type="character" w:customStyle="1" w:styleId="166">
    <w:name w:val="Endnote Text Char"/>
    <w:basedOn w:val="11"/>
    <w:link w:val="36"/>
    <w:semiHidden/>
    <w:uiPriority w:val="0"/>
    <w:rPr>
      <w:rFonts w:ascii="Times New Roman" w:hAnsi="Times New Roman" w:eastAsia="MS Mincho"/>
      <w:lang w:val="sq-AL" w:eastAsia="it-IT"/>
    </w:rPr>
  </w:style>
  <w:style w:type="paragraph" w:customStyle="1" w:styleId="167">
    <w:name w:val="Rub1"/>
    <w:basedOn w:val="1"/>
    <w:uiPriority w:val="0"/>
    <w:pPr>
      <w:tabs>
        <w:tab w:val="left" w:pos="1276"/>
      </w:tabs>
      <w:spacing w:after="0"/>
    </w:pPr>
    <w:rPr>
      <w:rFonts w:eastAsia="MS Mincho"/>
      <w:b/>
      <w:smallCaps/>
      <w:sz w:val="20"/>
    </w:rPr>
  </w:style>
  <w:style w:type="paragraph" w:customStyle="1" w:styleId="168">
    <w:name w:val="Rub2 Char"/>
    <w:basedOn w:val="1"/>
    <w:next w:val="1"/>
    <w:link w:val="185"/>
    <w:uiPriority w:val="0"/>
    <w:pPr>
      <w:tabs>
        <w:tab w:val="left" w:pos="709"/>
        <w:tab w:val="left" w:pos="5670"/>
        <w:tab w:val="left" w:pos="6663"/>
        <w:tab w:val="left" w:pos="7088"/>
      </w:tabs>
      <w:spacing w:after="0"/>
      <w:ind w:right="-596"/>
      <w:jc w:val="left"/>
    </w:pPr>
    <w:rPr>
      <w:rFonts w:eastAsia="MS Mincho"/>
      <w:smallCaps/>
    </w:rPr>
  </w:style>
  <w:style w:type="paragraph" w:customStyle="1" w:styleId="169">
    <w:name w:val="Rub4"/>
    <w:basedOn w:val="1"/>
    <w:next w:val="1"/>
    <w:uiPriority w:val="0"/>
    <w:pPr>
      <w:tabs>
        <w:tab w:val="left" w:pos="709"/>
      </w:tabs>
      <w:spacing w:after="0"/>
      <w:jc w:val="left"/>
    </w:pPr>
    <w:rPr>
      <w:rFonts w:eastAsia="MS Mincho"/>
      <w:b/>
      <w:i/>
      <w:sz w:val="20"/>
    </w:rPr>
  </w:style>
  <w:style w:type="character" w:customStyle="1" w:styleId="170">
    <w:name w:val="Document Map Char"/>
    <w:basedOn w:val="11"/>
    <w:link w:val="32"/>
    <w:semiHidden/>
    <w:uiPriority w:val="0"/>
    <w:rPr>
      <w:rFonts w:ascii="Tahoma" w:hAnsi="Tahoma" w:eastAsia="MS Mincho"/>
      <w:sz w:val="24"/>
      <w:shd w:val="clear" w:color="auto" w:fill="000080"/>
      <w:lang w:val="sq-AL" w:eastAsia="it-IT"/>
    </w:rPr>
  </w:style>
  <w:style w:type="paragraph" w:customStyle="1" w:styleId="171">
    <w:name w:val="indr-1"/>
    <w:basedOn w:val="1"/>
    <w:uiPriority w:val="0"/>
    <w:pPr>
      <w:tabs>
        <w:tab w:val="left" w:pos="284"/>
      </w:tabs>
      <w:spacing w:after="0"/>
      <w:ind w:left="340" w:right="-113" w:hanging="340"/>
      <w:jc w:val="left"/>
    </w:pPr>
    <w:rPr>
      <w:rFonts w:eastAsia="MS Mincho"/>
      <w:spacing w:val="-2"/>
      <w:sz w:val="22"/>
      <w:lang w:val="sv-SE"/>
    </w:rPr>
  </w:style>
  <w:style w:type="character" w:customStyle="1" w:styleId="172">
    <w:name w:val="Body Text 3 Char"/>
    <w:basedOn w:val="11"/>
    <w:link w:val="17"/>
    <w:uiPriority w:val="0"/>
    <w:rPr>
      <w:rFonts w:ascii="Times New Roman" w:hAnsi="Times New Roman" w:eastAsia="MS Mincho"/>
      <w:sz w:val="16"/>
      <w:lang w:val="sq-AL" w:eastAsia="it-IT"/>
    </w:rPr>
  </w:style>
  <w:style w:type="character" w:customStyle="1" w:styleId="173">
    <w:name w:val="Body Text First Indent Char"/>
    <w:basedOn w:val="117"/>
    <w:link w:val="18"/>
    <w:uiPriority w:val="0"/>
    <w:rPr>
      <w:rFonts w:ascii="Times New Roman" w:hAnsi="Times New Roman" w:eastAsia="MS Mincho"/>
      <w:sz w:val="24"/>
      <w:lang w:val="sq-AL" w:eastAsia="it-IT"/>
    </w:rPr>
  </w:style>
  <w:style w:type="character" w:customStyle="1" w:styleId="174">
    <w:name w:val="Body Text Indent Char"/>
    <w:basedOn w:val="11"/>
    <w:link w:val="19"/>
    <w:uiPriority w:val="0"/>
    <w:rPr>
      <w:rFonts w:ascii="Times New Roman" w:hAnsi="Times New Roman" w:eastAsia="MS Mincho"/>
      <w:sz w:val="24"/>
      <w:lang w:val="sq-AL" w:eastAsia="it-IT"/>
    </w:rPr>
  </w:style>
  <w:style w:type="character" w:customStyle="1" w:styleId="175">
    <w:name w:val="Body Text First Indent 2 Char"/>
    <w:basedOn w:val="174"/>
    <w:link w:val="20"/>
    <w:uiPriority w:val="0"/>
    <w:rPr>
      <w:rFonts w:ascii="Times New Roman" w:hAnsi="Times New Roman" w:eastAsia="MS Mincho"/>
      <w:sz w:val="24"/>
      <w:lang w:val="sq-AL" w:eastAsia="it-IT"/>
    </w:rPr>
  </w:style>
  <w:style w:type="character" w:customStyle="1" w:styleId="176">
    <w:name w:val="Body Text Indent 2 Char"/>
    <w:basedOn w:val="11"/>
    <w:link w:val="21"/>
    <w:uiPriority w:val="0"/>
    <w:rPr>
      <w:rFonts w:ascii="Times New Roman" w:hAnsi="Times New Roman" w:eastAsia="MS Mincho"/>
      <w:sz w:val="24"/>
      <w:lang w:val="sq-AL" w:eastAsia="it-IT"/>
    </w:rPr>
  </w:style>
  <w:style w:type="character" w:customStyle="1" w:styleId="177">
    <w:name w:val="Body Text Indent 3 Char"/>
    <w:basedOn w:val="11"/>
    <w:link w:val="22"/>
    <w:uiPriority w:val="0"/>
    <w:rPr>
      <w:rFonts w:ascii="Times New Roman" w:hAnsi="Times New Roman" w:eastAsia="MS Mincho"/>
      <w:sz w:val="16"/>
      <w:lang w:val="sq-AL" w:eastAsia="it-IT"/>
    </w:rPr>
  </w:style>
  <w:style w:type="character" w:customStyle="1" w:styleId="178">
    <w:name w:val="Date Char"/>
    <w:basedOn w:val="11"/>
    <w:link w:val="31"/>
    <w:uiPriority w:val="0"/>
    <w:rPr>
      <w:rFonts w:ascii="Times New Roman" w:hAnsi="Times New Roman" w:eastAsia="MS Mincho"/>
      <w:sz w:val="24"/>
      <w:lang w:val="sq-AL" w:eastAsia="it-IT"/>
    </w:rPr>
  </w:style>
  <w:style w:type="character" w:customStyle="1" w:styleId="179">
    <w:name w:val="Macro Text Char"/>
    <w:basedOn w:val="11"/>
    <w:link w:val="76"/>
    <w:semiHidden/>
    <w:uiPriority w:val="0"/>
    <w:rPr>
      <w:rFonts w:ascii="Courier New" w:hAnsi="Courier New" w:eastAsia="MS Mincho"/>
      <w:lang w:val="en-GB" w:eastAsia="it-IT"/>
    </w:rPr>
  </w:style>
  <w:style w:type="character" w:customStyle="1" w:styleId="180">
    <w:name w:val="Message Header Char"/>
    <w:basedOn w:val="11"/>
    <w:link w:val="77"/>
    <w:uiPriority w:val="0"/>
    <w:rPr>
      <w:rFonts w:ascii="Arial" w:hAnsi="Arial" w:eastAsia="MS Mincho"/>
      <w:sz w:val="24"/>
      <w:shd w:val="pct20" w:color="auto" w:fill="auto"/>
      <w:lang w:val="sq-AL" w:eastAsia="it-IT"/>
    </w:rPr>
  </w:style>
  <w:style w:type="character" w:customStyle="1" w:styleId="181">
    <w:name w:val="Note Heading Char"/>
    <w:basedOn w:val="11"/>
    <w:link w:val="80"/>
    <w:uiPriority w:val="0"/>
    <w:rPr>
      <w:rFonts w:ascii="Times New Roman" w:hAnsi="Times New Roman" w:eastAsia="MS Mincho"/>
      <w:sz w:val="24"/>
      <w:lang w:val="sq-AL" w:eastAsia="it-IT"/>
    </w:rPr>
  </w:style>
  <w:style w:type="character" w:customStyle="1" w:styleId="182">
    <w:name w:val="Plain Text Char"/>
    <w:basedOn w:val="11"/>
    <w:link w:val="82"/>
    <w:uiPriority w:val="0"/>
    <w:rPr>
      <w:rFonts w:ascii="Courier New" w:hAnsi="Courier New" w:eastAsia="MS Mincho"/>
      <w:lang w:val="sq-AL" w:eastAsia="it-IT"/>
    </w:rPr>
  </w:style>
  <w:style w:type="character" w:customStyle="1" w:styleId="183">
    <w:name w:val="Salutation Char"/>
    <w:basedOn w:val="11"/>
    <w:link w:val="83"/>
    <w:uiPriority w:val="0"/>
    <w:rPr>
      <w:rFonts w:ascii="Times New Roman" w:hAnsi="Times New Roman" w:eastAsia="MS Mincho"/>
      <w:sz w:val="24"/>
      <w:lang w:val="sq-AL" w:eastAsia="it-IT"/>
    </w:rPr>
  </w:style>
  <w:style w:type="paragraph" w:customStyle="1" w:styleId="184">
    <w:name w:val="Standard"/>
    <w:basedOn w:val="1"/>
    <w:next w:val="1"/>
    <w:uiPriority w:val="0"/>
    <w:pPr>
      <w:autoSpaceDE w:val="0"/>
      <w:autoSpaceDN w:val="0"/>
      <w:adjustRightInd w:val="0"/>
      <w:spacing w:after="0"/>
      <w:jc w:val="left"/>
    </w:pPr>
    <w:rPr>
      <w:rFonts w:ascii="TimesNewRoman" w:hAnsi="TimesNewRoman" w:eastAsia="MS Mincho"/>
      <w:szCs w:val="24"/>
      <w:lang w:val="it-IT"/>
    </w:rPr>
  </w:style>
  <w:style w:type="character" w:customStyle="1" w:styleId="185">
    <w:name w:val="Rub2 Char Char"/>
    <w:basedOn w:val="11"/>
    <w:link w:val="168"/>
    <w:uiPriority w:val="0"/>
    <w:rPr>
      <w:rFonts w:ascii="Times New Roman" w:hAnsi="Times New Roman" w:eastAsia="MS Mincho"/>
      <w:smallCaps/>
      <w:sz w:val="24"/>
      <w:lang w:val="sq-AL" w:eastAsia="it-IT"/>
    </w:rPr>
  </w:style>
  <w:style w:type="paragraph" w:customStyle="1" w:styleId="186">
    <w:name w:val="Rub2"/>
    <w:basedOn w:val="1"/>
    <w:next w:val="1"/>
    <w:uiPriority w:val="0"/>
    <w:pPr>
      <w:tabs>
        <w:tab w:val="left" w:pos="709"/>
        <w:tab w:val="left" w:pos="5670"/>
        <w:tab w:val="left" w:pos="6663"/>
        <w:tab w:val="left" w:pos="7088"/>
      </w:tabs>
      <w:spacing w:after="0"/>
      <w:ind w:right="-596"/>
      <w:jc w:val="left"/>
    </w:pPr>
    <w:rPr>
      <w:rFonts w:eastAsia="MS Mincho"/>
      <w:smallCaps/>
      <w:sz w:val="20"/>
      <w:lang w:eastAsia="en-US"/>
    </w:rPr>
  </w:style>
  <w:style w:type="character" w:customStyle="1" w:styleId="187">
    <w:name w:val="Comment Subject Char"/>
    <w:basedOn w:val="138"/>
    <w:link w:val="30"/>
    <w:semiHidden/>
    <w:uiPriority w:val="0"/>
    <w:rPr>
      <w:rFonts w:ascii="Times New Roman" w:hAnsi="Times New Roman" w:eastAsia="MS Mincho"/>
      <w:b/>
      <w:bCs/>
      <w:lang w:val="sq-AL" w:eastAsia="it-IT"/>
    </w:rPr>
  </w:style>
  <w:style w:type="character" w:customStyle="1" w:styleId="188">
    <w:name w:val="Rub2 Char Char Char"/>
    <w:basedOn w:val="11"/>
    <w:uiPriority w:val="0"/>
    <w:rPr>
      <w:smallCaps/>
      <w:sz w:val="24"/>
      <w:lang w:val="en-GB" w:eastAsia="it-IT" w:bidi="ar-SA"/>
    </w:rPr>
  </w:style>
  <w:style w:type="paragraph" w:customStyle="1" w:styleId="189">
    <w:name w:val="bullet_sub"/>
    <w:basedOn w:val="1"/>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pPr>
    <w:rPr>
      <w:rFonts w:ascii="Arial" w:hAnsi="Arial" w:eastAsia="MS Mincho"/>
      <w:snapToGrid w:val="0"/>
      <w:sz w:val="22"/>
      <w:lang w:eastAsia="en-US"/>
    </w:rPr>
  </w:style>
  <w:style w:type="paragraph" w:customStyle="1" w:styleId="190">
    <w:name w:val="SubTitle 1"/>
    <w:basedOn w:val="1"/>
    <w:next w:val="191"/>
    <w:uiPriority w:val="0"/>
    <w:pPr>
      <w:spacing w:before="120"/>
      <w:jc w:val="center"/>
    </w:pPr>
    <w:rPr>
      <w:rFonts w:ascii="Arial" w:hAnsi="Arial" w:eastAsia="MS Mincho"/>
      <w:b/>
      <w:snapToGrid w:val="0"/>
      <w:sz w:val="40"/>
      <w:lang w:eastAsia="en-US"/>
    </w:rPr>
  </w:style>
  <w:style w:type="paragraph" w:customStyle="1" w:styleId="191">
    <w:name w:val="SubTitle 2"/>
    <w:basedOn w:val="1"/>
    <w:uiPriority w:val="0"/>
    <w:pPr>
      <w:spacing w:before="120"/>
      <w:jc w:val="center"/>
    </w:pPr>
    <w:rPr>
      <w:rFonts w:ascii="Arial" w:hAnsi="Arial" w:eastAsia="MS Mincho"/>
      <w:b/>
      <w:snapToGrid w:val="0"/>
      <w:sz w:val="32"/>
      <w:lang w:eastAsia="en-US"/>
    </w:rPr>
  </w:style>
  <w:style w:type="paragraph" w:customStyle="1" w:styleId="192">
    <w:name w:val="Annexe_title"/>
    <w:basedOn w:val="2"/>
    <w:next w:val="1"/>
    <w:autoRedefine/>
    <w:uiPriority w:val="0"/>
    <w:pPr>
      <w:keepNext w:val="0"/>
      <w:pageBreakBefore/>
      <w:tabs>
        <w:tab w:val="left" w:pos="567"/>
        <w:tab w:val="left" w:pos="2552"/>
        <w:tab w:val="left" w:pos="7938"/>
        <w:tab w:val="left" w:pos="9072"/>
      </w:tabs>
      <w:spacing w:before="0" w:after="0"/>
      <w:jc w:val="left"/>
      <w:outlineLvl w:val="9"/>
    </w:pPr>
    <w:rPr>
      <w:rFonts w:ascii="Arial" w:hAnsi="Arial" w:eastAsia="MS Mincho"/>
      <w:bCs w:val="0"/>
      <w:caps/>
      <w:snapToGrid w:val="0"/>
      <w:kern w:val="0"/>
      <w:sz w:val="28"/>
      <w:szCs w:val="20"/>
      <w:lang w:val="sq-AL" w:eastAsia="en-US"/>
    </w:rPr>
  </w:style>
  <w:style w:type="paragraph" w:customStyle="1" w:styleId="193">
    <w:name w:val="title_front"/>
    <w:basedOn w:val="1"/>
    <w:uiPriority w:val="0"/>
    <w:pPr>
      <w:spacing w:before="240" w:after="120"/>
      <w:ind w:left="1701"/>
      <w:jc w:val="right"/>
    </w:pPr>
    <w:rPr>
      <w:rFonts w:ascii="Optima" w:hAnsi="Optima" w:eastAsia="MS Mincho"/>
      <w:b/>
      <w:snapToGrid w:val="0"/>
      <w:sz w:val="28"/>
      <w:lang w:eastAsia="en-US"/>
    </w:rPr>
  </w:style>
  <w:style w:type="paragraph" w:customStyle="1" w:styleId="194">
    <w:name w:val="Blockquote"/>
    <w:basedOn w:val="1"/>
    <w:uiPriority w:val="0"/>
    <w:pPr>
      <w:widowControl w:val="0"/>
      <w:spacing w:before="100" w:after="100"/>
      <w:ind w:left="360" w:right="360"/>
      <w:jc w:val="left"/>
    </w:pPr>
    <w:rPr>
      <w:rFonts w:ascii="Arial" w:hAnsi="Arial" w:eastAsia="MS Mincho"/>
      <w:snapToGrid w:val="0"/>
      <w:lang w:val="en-US" w:eastAsia="en-US"/>
    </w:rPr>
  </w:style>
  <w:style w:type="paragraph" w:customStyle="1" w:styleId="195">
    <w:name w:val="Style2"/>
    <w:uiPriority w:val="0"/>
    <w:pPr>
      <w:keepNext/>
      <w:widowControl w:val="0"/>
      <w:tabs>
        <w:tab w:val="left" w:pos="2091"/>
      </w:tabs>
      <w:spacing w:before="120" w:after="120" w:line="276" w:lineRule="auto"/>
      <w:ind w:left="2977" w:hanging="992"/>
    </w:pPr>
    <w:rPr>
      <w:rFonts w:ascii="Arial" w:hAnsi="Arial" w:eastAsiaTheme="minorHAnsi" w:cstheme="minorBidi"/>
      <w:b/>
      <w:snapToGrid w:val="0"/>
      <w:sz w:val="18"/>
      <w:szCs w:val="22"/>
      <w:lang w:val="fr-FR" w:eastAsia="en-US" w:bidi="ar-SA"/>
    </w:rPr>
  </w:style>
  <w:style w:type="paragraph" w:customStyle="1" w:styleId="196">
    <w:name w:val="text"/>
    <w:uiPriority w:val="0"/>
    <w:pPr>
      <w:widowControl w:val="0"/>
      <w:spacing w:before="240" w:line="240" w:lineRule="exact"/>
      <w:jc w:val="both"/>
    </w:pPr>
    <w:rPr>
      <w:rFonts w:ascii="Arial" w:hAnsi="Arial" w:eastAsia="MS Mincho" w:cs="Times New Roman"/>
      <w:snapToGrid w:val="0"/>
      <w:sz w:val="24"/>
      <w:lang w:val="cs-CZ" w:eastAsia="en-US" w:bidi="ar-SA"/>
    </w:rPr>
  </w:style>
  <w:style w:type="paragraph" w:customStyle="1" w:styleId="197">
    <w:name w:val="Section"/>
    <w:basedOn w:val="1"/>
    <w:uiPriority w:val="0"/>
    <w:pPr>
      <w:widowControl w:val="0"/>
      <w:spacing w:after="0" w:line="360" w:lineRule="exact"/>
      <w:jc w:val="center"/>
    </w:pPr>
    <w:rPr>
      <w:rFonts w:ascii="Arial" w:hAnsi="Arial" w:eastAsia="MS Mincho"/>
      <w:b/>
      <w:snapToGrid w:val="0"/>
      <w:sz w:val="32"/>
      <w:lang w:val="cs-CZ" w:eastAsia="en-US"/>
    </w:rPr>
  </w:style>
  <w:style w:type="paragraph" w:customStyle="1" w:styleId="198">
    <w:name w:val="Manual NumPar 1"/>
    <w:basedOn w:val="1"/>
    <w:next w:val="1"/>
    <w:uiPriority w:val="0"/>
    <w:pPr>
      <w:spacing w:before="120" w:after="120"/>
      <w:ind w:left="851" w:hanging="851"/>
    </w:pPr>
    <w:rPr>
      <w:rFonts w:eastAsia="MS Mincho"/>
      <w:snapToGrid w:val="0"/>
      <w:lang w:val="fr-FR" w:eastAsia="en-US"/>
    </w:rPr>
  </w:style>
  <w:style w:type="table" w:customStyle="1" w:styleId="199">
    <w:name w:val="Table Grid1"/>
    <w:basedOn w:val="12"/>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Table Grid2"/>
    <w:basedOn w:val="12"/>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1">
    <w:name w:val="spelle"/>
    <w:basedOn w:val="11"/>
    <w:uiPriority w:val="0"/>
  </w:style>
  <w:style w:type="paragraph" w:customStyle="1" w:styleId="202">
    <w:name w:val="ecxmsonormal"/>
    <w:basedOn w:val="1"/>
    <w:uiPriority w:val="0"/>
    <w:pPr>
      <w:spacing w:after="324"/>
      <w:jc w:val="left"/>
    </w:pPr>
    <w:rPr>
      <w:szCs w:val="24"/>
      <w:lang w:val="en-US" w:eastAsia="en-US"/>
    </w:rPr>
  </w:style>
  <w:style w:type="paragraph" w:customStyle="1" w:styleId="203">
    <w:name w:val="Char Char Char Char Char Char"/>
    <w:basedOn w:val="1"/>
    <w:qFormat/>
    <w:uiPriority w:val="0"/>
    <w:pPr>
      <w:spacing w:after="160" w:line="240" w:lineRule="exact"/>
      <w:jc w:val="left"/>
    </w:pPr>
    <w:rPr>
      <w:rFonts w:ascii="Tahoma" w:hAnsi="Tahoma"/>
      <w:sz w:val="20"/>
      <w:lang w:val="en-US" w:eastAsia="en-US"/>
    </w:rPr>
  </w:style>
  <w:style w:type="character" w:customStyle="1" w:styleId="204">
    <w:name w:val="specs-name"/>
    <w:basedOn w:val="11"/>
    <w:uiPriority w:val="0"/>
  </w:style>
  <w:style w:type="character" w:customStyle="1" w:styleId="205">
    <w:name w:val="specs-value"/>
    <w:basedOn w:val="11"/>
    <w:uiPriority w:val="0"/>
  </w:style>
  <w:style w:type="character" w:customStyle="1" w:styleId="206">
    <w:name w:val="title1"/>
    <w:basedOn w:val="11"/>
    <w:uiPriority w:val="0"/>
  </w:style>
  <w:style w:type="character" w:customStyle="1" w:styleId="207">
    <w:name w:val="E-mail Signature Char"/>
    <w:basedOn w:val="11"/>
    <w:link w:val="33"/>
    <w:semiHidden/>
    <w:uiPriority w:val="99"/>
    <w:rPr>
      <w:rFonts w:ascii="Times New Roman" w:hAnsi="Times New Roman" w:eastAsia="Times New Roman"/>
      <w:sz w:val="24"/>
      <w:szCs w:val="24"/>
    </w:rPr>
  </w:style>
  <w:style w:type="character" w:customStyle="1" w:styleId="208">
    <w:name w:val="E-mail Signature Char1"/>
    <w:basedOn w:val="11"/>
    <w:semiHidden/>
    <w:uiPriority w:val="99"/>
    <w:rPr>
      <w:rFonts w:ascii="Times New Roman" w:hAnsi="Times New Roman" w:eastAsia="Times New Roman"/>
      <w:sz w:val="24"/>
      <w:lang w:val="sq-AL" w:eastAsia="it-IT"/>
    </w:rPr>
  </w:style>
  <w:style w:type="character" w:styleId="209">
    <w:name w:val="Placeholder Text"/>
    <w:basedOn w:val="11"/>
    <w:semiHidden/>
    <w:uiPriority w:val="99"/>
    <w:rPr>
      <w:color w:val="808080"/>
    </w:rPr>
  </w:style>
  <w:style w:type="table" w:customStyle="1" w:styleId="210">
    <w:name w:val="Table Grid3"/>
    <w:basedOn w:val="12"/>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Grid4"/>
    <w:basedOn w:val="12"/>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gt-icon-text1"/>
    <w:basedOn w:val="11"/>
    <w:uiPriority w:val="0"/>
  </w:style>
  <w:style w:type="character" w:customStyle="1" w:styleId="213">
    <w:name w:val="atn"/>
    <w:basedOn w:val="11"/>
    <w:uiPriority w:val="0"/>
  </w:style>
  <w:style w:type="character" w:customStyle="1" w:styleId="214">
    <w:name w:val="List Paragraph Char"/>
    <w:link w:val="114"/>
    <w:uiPriority w:val="34"/>
    <w:rPr>
      <w:sz w:val="22"/>
      <w:szCs w:val="22"/>
      <w:lang w:val="sq-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2605B-3A1E-4841-9A5C-4402DF623737}">
  <ds:schemaRefs/>
</ds:datastoreItem>
</file>

<file path=docProps/app.xml><?xml version="1.0" encoding="utf-8"?>
<Properties xmlns="http://schemas.openxmlformats.org/officeDocument/2006/extended-properties" xmlns:vt="http://schemas.openxmlformats.org/officeDocument/2006/docPropsVTypes">
  <Template>Normal</Template>
  <Pages>36</Pages>
  <Words>629</Words>
  <Characters>3365</Characters>
  <Lines>743</Lines>
  <Paragraphs>209</Paragraphs>
  <TotalTime>22</TotalTime>
  <ScaleCrop>false</ScaleCrop>
  <LinksUpToDate>false</LinksUpToDate>
  <CharactersWithSpaces>4062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2026-03-25T10:17:00Z</dcterms:created>
  <dc:creator>vlora</dc:creator>
  <cp:lastModifiedBy>Meni</cp:lastModifiedBy>
  <cp:lastPrinted>2017-03-23T13:53:00Z</cp:lastPrinted>
  <dcterms:modified xsi:type="dcterms:W3CDTF">2026-05-17T22:33:50Z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eyJoZGlkIjoiNDBjM2Y0YWQ4YTVjY2FkNDk2OThiY2VhYThiNWEyNjAifQ==</vt:lpwstr>
  </property>
  <property fmtid="{D5CDD505-2E9C-101B-9397-08002B2CF9AE}" pid="3" name="KSOProductBuildVer">
    <vt:lpwstr>1033-12.1.0.26372</vt:lpwstr>
  </property>
  <property fmtid="{D5CDD505-2E9C-101B-9397-08002B2CF9AE}" pid="4" name="ICV">
    <vt:lpwstr>A29E4413E12348F5AF3BAF20CFD29374_12</vt:lpwstr>
  </property>
</Properties>
</file>